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25076296"/>
        <w:docPartObj>
          <w:docPartGallery w:val="Cover Pages"/>
          <w:docPartUnique/>
        </w:docPartObj>
      </w:sdtPr>
      <w:sdtEndPr/>
      <w:sdtContent>
        <w:p w14:paraId="52C13581" w14:textId="75D1D0C2" w:rsidR="00E94AF3" w:rsidRDefault="00AF6E96" w:rsidP="00AF6E96">
          <w:r>
            <w:t>Comparison of splint and conventional cast for treating wrist torus fractures in children (systematic review)</w:t>
          </w:r>
        </w:p>
        <w:p w14:paraId="660DD212" w14:textId="5653C6FF" w:rsidR="00B97525" w:rsidRDefault="00B97525" w:rsidP="00C03775">
          <w:pPr>
            <w:rPr>
              <w:b/>
              <w:bCs/>
              <w:lang w:val="en-US"/>
            </w:rPr>
          </w:pPr>
          <w:r w:rsidRPr="00C03775">
            <w:rPr>
              <w:b/>
              <w:bCs/>
              <w:lang w:val="en-US"/>
            </w:rPr>
            <w:t>Keywords</w:t>
          </w:r>
        </w:p>
        <w:p w14:paraId="3B54643E" w14:textId="55C54DCC" w:rsidR="00C03775" w:rsidRPr="00C03775" w:rsidRDefault="00C03775" w:rsidP="00C03775">
          <w:r w:rsidRPr="00C03775">
            <w:t>Torus fracture, buckle fracture, distal radius fracture, fracture in children, splint, cast</w:t>
          </w:r>
        </w:p>
        <w:bookmarkStart w:id="0" w:name="_Toc396766993" w:displacedByCustomXml="next"/>
      </w:sdtContent>
    </w:sdt>
    <w:p w14:paraId="133A33B2" w14:textId="499B5587" w:rsidR="00AF6E96" w:rsidRPr="0005312C" w:rsidRDefault="00AF6E96" w:rsidP="00AF6E96">
      <w:pPr>
        <w:rPr>
          <w:b/>
          <w:bCs/>
          <w:lang w:val="en-US"/>
        </w:rPr>
      </w:pPr>
      <w:r w:rsidRPr="0005312C">
        <w:rPr>
          <w:b/>
          <w:bCs/>
          <w:lang w:val="en-US"/>
        </w:rPr>
        <w:t>Abstract</w:t>
      </w:r>
    </w:p>
    <w:p w14:paraId="6D65876F" w14:textId="77777777" w:rsidR="00AF6E96" w:rsidRDefault="00AF6E96" w:rsidP="00AF6E96">
      <w:pPr>
        <w:rPr>
          <w:rFonts w:cs="Calibri"/>
          <w:sz w:val="24"/>
          <w:szCs w:val="24"/>
        </w:rPr>
      </w:pPr>
      <w:r w:rsidRPr="00B22921">
        <w:rPr>
          <w:rFonts w:cs="Calibri"/>
          <w:sz w:val="24"/>
          <w:szCs w:val="24"/>
        </w:rPr>
        <w:t>Wrist torus fractures in children are common. Although it might be simple and straightforward, the mana</w:t>
      </w:r>
      <w:bookmarkStart w:id="1" w:name="_GoBack"/>
      <w:bookmarkEnd w:id="1"/>
      <w:r w:rsidRPr="00B22921">
        <w:rPr>
          <w:rFonts w:cs="Calibri"/>
          <w:sz w:val="24"/>
          <w:szCs w:val="24"/>
        </w:rPr>
        <w:t>gement of these injuries remains controversial and depends on the personal experience and preference of the treating physician. The consensus agreement, however, is that these fractures are inherently stable. Some authors argue that splints should replace the traditional method of cast immobilisation. The splints are viewed as easier to use, more convenient and do not require follow up clinics for removal. It has also been argued that splints are more cost-effective than casts. The aim of this systematic review is to examine the effectiveness and cost-effectiveness of removable splints versus casts in the treatment of torus wrist fractures of children in the current literature. This review followed the Systematic reviews and Meta-Analyses (PRISMA) statement for reporting. Comprehensive electronic database search and handsearch were conducted. Studies were considered for review if they were randomised or quasi-randomised controlled trial and compared removable splints and casts for treating torus fractures of distal radius and/or ulna in children. Four papers identified by two reviewers as potentially eligible for inclusion were appraised and two identified for inclusion were further assessed for any risk of bias. Data were narratively presented and discussed as meta-analysis would not have been possible for the identified studies. The limited available data favours the use of splint as a clinically effective and more cost-effective method of immobilisation. However, the findings of the systematic review are limited by the quality of the identified studies. It has been viewed that explanation to patients and parents and involving them in the decision, plus implementation of safety protocol to avoid under-treatment of misdiagnosed fractures and allow easy access of patients to the clinic, is an alternative way to provide safe, convenient and cost-effective treatment.</w:t>
      </w:r>
      <w:r>
        <w:rPr>
          <w:rFonts w:cs="Calibri"/>
          <w:sz w:val="24"/>
          <w:szCs w:val="24"/>
        </w:rPr>
        <w:t xml:space="preserve"> </w:t>
      </w:r>
    </w:p>
    <w:p w14:paraId="68A15BD9" w14:textId="77777777" w:rsidR="00AF6E96" w:rsidRDefault="00AF6E96">
      <w:pPr>
        <w:rPr>
          <w:rFonts w:cs="Calibri"/>
          <w:sz w:val="24"/>
          <w:szCs w:val="24"/>
        </w:rPr>
      </w:pPr>
      <w:r>
        <w:rPr>
          <w:rFonts w:cs="Calibri"/>
          <w:sz w:val="24"/>
          <w:szCs w:val="24"/>
        </w:rPr>
        <w:br w:type="page"/>
      </w:r>
    </w:p>
    <w:p w14:paraId="629824D9" w14:textId="6B098E34" w:rsidR="00B22921" w:rsidRPr="00A41FEF" w:rsidRDefault="00B22921" w:rsidP="00AF6E96">
      <w:pPr>
        <w:rPr>
          <w:b/>
          <w:bCs/>
          <w:lang w:val="en-US"/>
        </w:rPr>
      </w:pPr>
      <w:r w:rsidRPr="00A41FEF">
        <w:rPr>
          <w:b/>
          <w:bCs/>
          <w:lang w:val="en-US"/>
        </w:rPr>
        <w:lastRenderedPageBreak/>
        <w:t>Background</w:t>
      </w:r>
      <w:bookmarkEnd w:id="0"/>
      <w:r w:rsidRPr="00A41FEF">
        <w:rPr>
          <w:b/>
          <w:bCs/>
          <w:lang w:val="en-US"/>
        </w:rPr>
        <w:t xml:space="preserve"> </w:t>
      </w:r>
    </w:p>
    <w:p w14:paraId="4CD12EA5" w14:textId="3DC288B6" w:rsidR="00CF7CD7" w:rsidRPr="00CF7CD7" w:rsidRDefault="00B22921" w:rsidP="00AF6E96">
      <w:pPr>
        <w:rPr>
          <w:lang w:val="en-US"/>
        </w:rPr>
      </w:pPr>
      <w:bookmarkStart w:id="2" w:name="_Toc396766994"/>
      <w:r w:rsidRPr="00276551">
        <w:rPr>
          <w:lang w:val="en-US"/>
        </w:rPr>
        <w:t>Description of the condition: torus fracture</w:t>
      </w:r>
      <w:bookmarkEnd w:id="2"/>
    </w:p>
    <w:p w14:paraId="1E8757B6" w14:textId="010A3EC3" w:rsidR="00B22921" w:rsidRPr="000D4B17" w:rsidRDefault="00B22921" w:rsidP="008545D9">
      <w:pPr>
        <w:spacing w:before="120" w:after="0" w:line="480" w:lineRule="auto"/>
        <w:jc w:val="both"/>
        <w:rPr>
          <w:rFonts w:ascii="Calibri" w:eastAsia="Calibri" w:hAnsi="Calibri" w:cs="Calibri"/>
        </w:rPr>
      </w:pPr>
      <w:r w:rsidRPr="00276551">
        <w:rPr>
          <w:rFonts w:ascii="Calibri" w:eastAsia="Calibri" w:hAnsi="Calibri" w:cs="Calibri"/>
        </w:rPr>
        <w:t>Distal radius injuries are common in children. Forearm fractures represent approximately 35–45% of all fractures in the paediatric age group and about 85% of these fractures occur in the distal radius (</w:t>
      </w:r>
      <w:r w:rsidR="009B6ECE">
        <w:rPr>
          <w:rFonts w:ascii="Calibri" w:eastAsia="Calibri" w:hAnsi="Calibri" w:cs="Calibri"/>
        </w:rPr>
        <w:t>1</w:t>
      </w:r>
      <w:r w:rsidRPr="00276551">
        <w:rPr>
          <w:rFonts w:ascii="Calibri" w:eastAsia="Calibri" w:hAnsi="Calibri" w:cs="Calibri"/>
        </w:rPr>
        <w:t>). Because the bone in children is less brittle and has stronger periosteum, it ‘‘buckles’’ rather than breaks, resulting in a bulge in the cortex (</w:t>
      </w:r>
      <w:r w:rsidR="009B6ECE">
        <w:rPr>
          <w:rFonts w:ascii="Calibri" w:eastAsia="Calibri" w:hAnsi="Calibri" w:cs="Calibri"/>
        </w:rPr>
        <w:t>2</w:t>
      </w:r>
      <w:r w:rsidRPr="00276551">
        <w:rPr>
          <w:rFonts w:ascii="Calibri" w:eastAsia="Calibri" w:hAnsi="Calibri" w:cs="Calibri"/>
        </w:rPr>
        <w:t xml:space="preserve">) [Figure 1]. </w:t>
      </w:r>
      <w:proofErr w:type="gramStart"/>
      <w:r w:rsidRPr="00276551">
        <w:rPr>
          <w:rFonts w:ascii="Calibri" w:eastAsia="Calibri" w:hAnsi="Calibri" w:cs="Calibri"/>
        </w:rPr>
        <w:t>The majority of</w:t>
      </w:r>
      <w:proofErr w:type="gramEnd"/>
      <w:r w:rsidRPr="00276551">
        <w:rPr>
          <w:rFonts w:ascii="Calibri" w:eastAsia="Calibri" w:hAnsi="Calibri" w:cs="Calibri"/>
        </w:rPr>
        <w:t xml:space="preserve"> distal radius fractures in children are classified as torus fractures and because of a fall onto the outstretched hand,</w:t>
      </w:r>
      <w:r w:rsidR="009B6ECE">
        <w:rPr>
          <w:rFonts w:ascii="Calibri" w:eastAsia="Calibri" w:hAnsi="Calibri" w:cs="Calibri"/>
        </w:rPr>
        <w:t xml:space="preserve"> pain</w:t>
      </w:r>
      <w:r w:rsidRPr="00276551">
        <w:rPr>
          <w:rFonts w:ascii="Calibri" w:eastAsia="Calibri" w:hAnsi="Calibri" w:cs="Calibri"/>
        </w:rPr>
        <w:t xml:space="preserve"> and local tenderness and swelling are common findings on clinical examination. Radiographs usually confirm the diagnosis (</w:t>
      </w:r>
      <w:r w:rsidR="009B6ECE">
        <w:rPr>
          <w:rFonts w:ascii="Calibri" w:eastAsia="Calibri" w:hAnsi="Calibri" w:cs="Calibri"/>
        </w:rPr>
        <w:t>3</w:t>
      </w:r>
      <w:r w:rsidRPr="00276551">
        <w:rPr>
          <w:rFonts w:ascii="Calibri" w:eastAsia="Calibri" w:hAnsi="Calibri" w:cs="Calibri"/>
        </w:rPr>
        <w:t xml:space="preserve">). </w:t>
      </w:r>
    </w:p>
    <w:p w14:paraId="493CAA52" w14:textId="77777777" w:rsidR="00B22921" w:rsidRPr="00276551" w:rsidRDefault="00B22921" w:rsidP="00AF6E96">
      <w:pPr>
        <w:rPr>
          <w:lang w:val="en-US"/>
        </w:rPr>
      </w:pPr>
      <w:bookmarkStart w:id="3" w:name="_Toc396766995"/>
      <w:r w:rsidRPr="00276551">
        <w:rPr>
          <w:lang w:val="en-US"/>
        </w:rPr>
        <w:t>Description of the interventions: cast and splint</w:t>
      </w:r>
      <w:bookmarkEnd w:id="3"/>
      <w:r w:rsidRPr="00276551">
        <w:rPr>
          <w:lang w:val="en-US"/>
        </w:rPr>
        <w:t xml:space="preserve"> </w:t>
      </w:r>
    </w:p>
    <w:p w14:paraId="375EF763" w14:textId="0D38EADC" w:rsidR="00B22921" w:rsidRPr="000D4B17" w:rsidRDefault="00B22921" w:rsidP="00D70A6F">
      <w:pPr>
        <w:spacing w:before="120" w:after="0" w:line="480" w:lineRule="auto"/>
        <w:rPr>
          <w:rFonts w:ascii="Calibri" w:eastAsia="Calibri" w:hAnsi="Calibri" w:cs="Arial"/>
        </w:rPr>
      </w:pPr>
      <w:r w:rsidRPr="00276551">
        <w:rPr>
          <w:rFonts w:ascii="Calibri" w:eastAsia="Calibri" w:hAnsi="Calibri" w:cs="Calibri"/>
        </w:rPr>
        <w:t>Traditionally, torus fractures are treated by 2-4 weeks of immobilisation in a below-</w:t>
      </w:r>
      <w:r w:rsidR="00A41FEF">
        <w:rPr>
          <w:rFonts w:ascii="Calibri" w:eastAsia="Calibri" w:hAnsi="Calibri" w:cs="Calibri"/>
        </w:rPr>
        <w:t>elbow cast (</w:t>
      </w:r>
      <w:r w:rsidR="00D70A6F">
        <w:rPr>
          <w:rFonts w:ascii="Calibri" w:eastAsia="Calibri" w:hAnsi="Calibri" w:cs="Calibri"/>
        </w:rPr>
        <w:t>4</w:t>
      </w:r>
      <w:r w:rsidRPr="00276551">
        <w:rPr>
          <w:rFonts w:ascii="Calibri" w:eastAsia="Calibri" w:hAnsi="Calibri" w:cs="Calibri"/>
        </w:rPr>
        <w:t>). Several authors suggest that splinting is equally effective, with no cast-related complications and/or higher patient and parent satisfaction when immobilisation method was compared between cast and splint (</w:t>
      </w:r>
      <w:r w:rsidR="009B6ECE">
        <w:rPr>
          <w:rFonts w:ascii="Calibri" w:eastAsia="Calibri" w:hAnsi="Calibri" w:cs="Calibri"/>
        </w:rPr>
        <w:t>3</w:t>
      </w:r>
      <w:r w:rsidRPr="00276551">
        <w:rPr>
          <w:rFonts w:ascii="Calibri" w:eastAsia="Calibri" w:hAnsi="Calibri" w:cs="Calibri"/>
        </w:rPr>
        <w:t xml:space="preserve">; </w:t>
      </w:r>
      <w:r w:rsidR="00D70A6F">
        <w:rPr>
          <w:rFonts w:ascii="Calibri" w:eastAsia="Calibri" w:hAnsi="Calibri" w:cs="Calibri"/>
        </w:rPr>
        <w:t>4</w:t>
      </w:r>
      <w:r w:rsidRPr="00276551">
        <w:rPr>
          <w:rFonts w:ascii="Calibri" w:eastAsia="Calibri" w:hAnsi="Calibri" w:cs="Calibri"/>
        </w:rPr>
        <w:t xml:space="preserve">; </w:t>
      </w:r>
      <w:r w:rsidR="00D70A6F">
        <w:rPr>
          <w:rFonts w:ascii="Calibri" w:eastAsia="Calibri" w:hAnsi="Calibri" w:cs="Arial"/>
        </w:rPr>
        <w:t>5</w:t>
      </w:r>
      <w:r w:rsidRPr="00276551">
        <w:rPr>
          <w:rFonts w:ascii="Calibri" w:eastAsia="Calibri" w:hAnsi="Calibri" w:cs="Arial"/>
        </w:rPr>
        <w:t xml:space="preserve">). It has been argued that torus fractures are inherently </w:t>
      </w:r>
      <w:proofErr w:type="gramStart"/>
      <w:r w:rsidRPr="00276551">
        <w:rPr>
          <w:rFonts w:ascii="Calibri" w:eastAsia="Calibri" w:hAnsi="Calibri" w:cs="Arial"/>
        </w:rPr>
        <w:t>stable</w:t>
      </w:r>
      <w:proofErr w:type="gramEnd"/>
      <w:r w:rsidRPr="00276551">
        <w:rPr>
          <w:rFonts w:ascii="Calibri" w:eastAsia="Calibri" w:hAnsi="Calibri" w:cs="Arial"/>
        </w:rPr>
        <w:t xml:space="preserve"> and the risk of displacement is very low or non-existent (</w:t>
      </w:r>
      <w:r w:rsidR="009B6ECE">
        <w:rPr>
          <w:rFonts w:ascii="Calibri" w:eastAsia="Calibri" w:hAnsi="Calibri" w:cs="Calibri"/>
        </w:rPr>
        <w:t>3</w:t>
      </w:r>
      <w:r w:rsidR="00B74251">
        <w:rPr>
          <w:rFonts w:ascii="Calibri" w:eastAsia="Calibri" w:hAnsi="Calibri" w:cs="Calibri"/>
        </w:rPr>
        <w:t>-</w:t>
      </w:r>
      <w:r w:rsidR="00D70A6F">
        <w:rPr>
          <w:rFonts w:ascii="Calibri" w:eastAsia="Calibri" w:hAnsi="Calibri" w:cs="Calibri"/>
        </w:rPr>
        <w:t>7</w:t>
      </w:r>
      <w:r w:rsidRPr="00276551">
        <w:rPr>
          <w:rFonts w:ascii="Calibri" w:eastAsia="Calibri" w:hAnsi="Calibri" w:cs="Arial"/>
        </w:rPr>
        <w:t>). In a review of nine studies on torus fractures (</w:t>
      </w:r>
      <w:r w:rsidR="00B74251">
        <w:rPr>
          <w:rFonts w:ascii="Calibri" w:eastAsia="Calibri" w:hAnsi="Calibri" w:cs="Arial"/>
        </w:rPr>
        <w:t>3, 6-13),</w:t>
      </w:r>
      <w:r w:rsidRPr="005A317D">
        <w:rPr>
          <w:rFonts w:ascii="Calibri" w:eastAsia="Calibri" w:hAnsi="Calibri" w:cs="Arial"/>
        </w:rPr>
        <w:t xml:space="preserve"> May and Grayson (2009) found that in none of the studies was there loss of position, lack of recovery, need for orthopaedic intervention or ongoing pain. The authors concluded that buckle fractures will heal regardless of the treatment the patient receives</w:t>
      </w:r>
      <w:r w:rsidR="00B74251">
        <w:rPr>
          <w:rFonts w:ascii="Calibri" w:eastAsia="Calibri" w:hAnsi="Calibri" w:cs="Arial"/>
        </w:rPr>
        <w:t xml:space="preserve"> (14).</w:t>
      </w:r>
    </w:p>
    <w:p w14:paraId="51456482" w14:textId="4C8F6409" w:rsidR="00B22921" w:rsidRPr="000D4B17" w:rsidRDefault="00B22921" w:rsidP="001F05CF">
      <w:pPr>
        <w:spacing w:before="120" w:after="0" w:line="480" w:lineRule="auto"/>
        <w:jc w:val="both"/>
        <w:rPr>
          <w:rFonts w:ascii="Calibri" w:eastAsia="Calibri" w:hAnsi="Calibri" w:cs="Arial"/>
        </w:rPr>
      </w:pPr>
      <w:r w:rsidRPr="005A317D">
        <w:rPr>
          <w:rFonts w:ascii="Calibri" w:eastAsia="Calibri" w:hAnsi="Calibri" w:cs="Arial"/>
        </w:rPr>
        <w:t>The traditional backslab cast, applied as initial management by emergency department staff, has a base material of plaster of Paris (POP) powder which is produced by heating gypsum (CaSO</w:t>
      </w:r>
      <w:r w:rsidRPr="005A317D">
        <w:rPr>
          <w:rFonts w:ascii="Calibri" w:eastAsia="Calibri" w:hAnsi="Calibri" w:cs="Arial"/>
          <w:vertAlign w:val="subscript"/>
        </w:rPr>
        <w:t>4</w:t>
      </w:r>
      <w:r w:rsidRPr="005A317D">
        <w:rPr>
          <w:rFonts w:ascii="Calibri" w:eastAsia="Calibri" w:hAnsi="Calibri" w:cs="Arial"/>
        </w:rPr>
        <w:t>·2H</w:t>
      </w:r>
      <w:r w:rsidRPr="005A317D">
        <w:rPr>
          <w:rFonts w:ascii="Calibri" w:eastAsia="Calibri" w:hAnsi="Calibri" w:cs="Arial"/>
          <w:vertAlign w:val="subscript"/>
        </w:rPr>
        <w:t>2</w:t>
      </w:r>
      <w:r w:rsidRPr="005A317D">
        <w:rPr>
          <w:rFonts w:ascii="Calibri" w:eastAsia="Calibri" w:hAnsi="Calibri" w:cs="Arial"/>
        </w:rPr>
        <w:t>O) (</w:t>
      </w:r>
      <w:r w:rsidR="00B74251">
        <w:rPr>
          <w:rFonts w:ascii="Calibri" w:eastAsia="Calibri" w:hAnsi="Calibri" w:cs="Arial"/>
        </w:rPr>
        <w:t>15</w:t>
      </w:r>
      <w:r w:rsidRPr="005A317D">
        <w:rPr>
          <w:rFonts w:ascii="Calibri" w:eastAsia="Calibri" w:hAnsi="Calibri" w:cs="Arial"/>
        </w:rPr>
        <w:t>). When POP is dipped in water to be used for immobilisation, it produces an exothermic reaction, liberating some heat for a short period (5-10 min) (</w:t>
      </w:r>
      <w:r w:rsidR="00B74251">
        <w:rPr>
          <w:rFonts w:ascii="Calibri" w:eastAsia="Calibri" w:hAnsi="Calibri" w:cs="Calibri"/>
        </w:rPr>
        <w:t>16</w:t>
      </w:r>
      <w:r w:rsidRPr="005A317D">
        <w:rPr>
          <w:rFonts w:ascii="Calibri" w:eastAsia="Calibri" w:hAnsi="Calibri" w:cs="Calibri"/>
        </w:rPr>
        <w:t>). Although uncommon, cases of burn and thermal injuries have been reported, which might be related to the method of application of cast or casting materials (</w:t>
      </w:r>
      <w:r w:rsidR="00B74251">
        <w:rPr>
          <w:rFonts w:ascii="Calibri" w:eastAsia="Calibri" w:hAnsi="Calibri" w:cs="Arial"/>
        </w:rPr>
        <w:t>17, 18</w:t>
      </w:r>
      <w:r w:rsidRPr="005A317D">
        <w:rPr>
          <w:rFonts w:ascii="Calibri" w:eastAsia="Calibri" w:hAnsi="Calibri" w:cs="Arial"/>
        </w:rPr>
        <w:t>). The heat produced by the exothermic reaction of gypsum may add to the initial effect of hyperaemia associated with injury, causing localised burns and blisters and resulting in secondary bacterial infections (</w:t>
      </w:r>
      <w:r w:rsidR="00B74251">
        <w:rPr>
          <w:rFonts w:ascii="Calibri" w:eastAsia="Calibri" w:hAnsi="Calibri" w:cs="Calibri"/>
        </w:rPr>
        <w:t>16</w:t>
      </w:r>
      <w:r w:rsidRPr="005A317D">
        <w:rPr>
          <w:rFonts w:ascii="Calibri" w:eastAsia="Calibri" w:hAnsi="Calibri" w:cs="Calibri"/>
        </w:rPr>
        <w:t xml:space="preserve">). Other recognised disadvantages of POP include skin excoriation, its </w:t>
      </w:r>
      <w:r w:rsidRPr="005A317D">
        <w:rPr>
          <w:rFonts w:ascii="Calibri" w:eastAsia="Calibri" w:hAnsi="Calibri" w:cs="Calibri"/>
        </w:rPr>
        <w:lastRenderedPageBreak/>
        <w:t>weight and bulkiness and restrictive nature of the cast, which makes bathing difficult (</w:t>
      </w:r>
      <w:r w:rsidR="00D70A6F">
        <w:rPr>
          <w:rFonts w:ascii="Calibri" w:eastAsia="Calibri" w:hAnsi="Calibri" w:cs="Arial"/>
        </w:rPr>
        <w:t>5</w:t>
      </w:r>
      <w:r w:rsidRPr="005A317D">
        <w:rPr>
          <w:rFonts w:ascii="Calibri" w:eastAsia="Calibri" w:hAnsi="Calibri" w:cs="Calibri"/>
        </w:rPr>
        <w:t>). POP is usually replaced in fracture clinics with a lighter weight synthetic casting bandage, e.g.</w:t>
      </w:r>
      <w:r w:rsidRPr="005A317D">
        <w:rPr>
          <w:rFonts w:ascii="Calibri" w:eastAsia="Calibri" w:hAnsi="Calibri" w:cs="Arial"/>
        </w:rPr>
        <w:t xml:space="preserve"> Delta-Lite Plus fibreglass casting bandage </w:t>
      </w:r>
      <w:r w:rsidRPr="005A317D">
        <w:rPr>
          <w:rFonts w:ascii="Calibri" w:eastAsia="Calibri" w:hAnsi="Calibri" w:cs="Calibri"/>
        </w:rPr>
        <w:t>(</w:t>
      </w:r>
      <w:r w:rsidRPr="005A317D">
        <w:rPr>
          <w:rFonts w:ascii="Calibri" w:eastAsia="Calibri" w:hAnsi="Calibri" w:cs="Arial"/>
        </w:rPr>
        <w:t xml:space="preserve">Smith &amp; Nephew) and Delta-Cast Conformable non-fibreglass casting bandage (Johnson and Johnson). </w:t>
      </w:r>
    </w:p>
    <w:p w14:paraId="6BC6BFCC" w14:textId="70863BD7" w:rsidR="00B22921" w:rsidRPr="000D4B17" w:rsidRDefault="00B22921" w:rsidP="00B74251">
      <w:pPr>
        <w:spacing w:before="120" w:after="0" w:line="480" w:lineRule="auto"/>
        <w:jc w:val="both"/>
        <w:rPr>
          <w:rFonts w:ascii="Calibri" w:eastAsia="Calibri" w:hAnsi="Calibri" w:cs="Calibri"/>
        </w:rPr>
      </w:pPr>
      <w:r w:rsidRPr="005A317D">
        <w:rPr>
          <w:rFonts w:ascii="Calibri" w:eastAsia="Calibri" w:hAnsi="Calibri" w:cs="Arial"/>
        </w:rPr>
        <w:t>Several alternatives have been studied. In a retrospective study of 309 torus fractures of distal radius and/or distal ulna, of which 269 (87%) were treated in a cast and 40 (13%) in a splint, none of the 276 (89%) patients who had available follow-up data had subsequent displacement of their fracture (</w:t>
      </w:r>
      <w:r w:rsidR="00D70A6F">
        <w:rPr>
          <w:rFonts w:ascii="Calibri" w:eastAsia="Calibri" w:hAnsi="Calibri" w:cs="Calibri"/>
        </w:rPr>
        <w:t>4</w:t>
      </w:r>
      <w:r w:rsidRPr="005A317D">
        <w:rPr>
          <w:rFonts w:ascii="Calibri" w:eastAsia="Calibri" w:hAnsi="Calibri" w:cs="Calibri"/>
        </w:rPr>
        <w:t xml:space="preserve">). The authors concluded that splinting of torus fractures appears to be a reasonable management strategy. </w:t>
      </w:r>
      <w:r w:rsidRPr="005A317D">
        <w:rPr>
          <w:rFonts w:ascii="Calibri" w:eastAsia="Calibri" w:hAnsi="Calibri" w:cs="Arial"/>
        </w:rPr>
        <w:t>Davidson, et al. (2001) compared traditional forearm plaster of Paris cast and a Futura-type wrist splint</w:t>
      </w:r>
      <w:r w:rsidR="00B74251">
        <w:rPr>
          <w:rFonts w:ascii="Calibri" w:eastAsia="Calibri" w:hAnsi="Calibri" w:cs="Arial"/>
        </w:rPr>
        <w:t xml:space="preserve"> (6)</w:t>
      </w:r>
      <w:r w:rsidRPr="005A317D">
        <w:rPr>
          <w:rFonts w:ascii="Calibri" w:eastAsia="Calibri" w:hAnsi="Calibri" w:cs="Arial"/>
        </w:rPr>
        <w:t xml:space="preserve">. </w:t>
      </w:r>
      <w:r w:rsidRPr="005A317D">
        <w:rPr>
          <w:rFonts w:ascii="Calibri" w:eastAsia="Calibri" w:hAnsi="Calibri" w:cs="Calibri"/>
        </w:rPr>
        <w:t>Symons, et al. (2001) compared a below-elbow backslab, which was removed after three weeks in fracture clinic, with a similar backslab, removed at home by a parent</w:t>
      </w:r>
      <w:r w:rsidR="00B74251">
        <w:rPr>
          <w:rFonts w:ascii="Calibri" w:eastAsia="Calibri" w:hAnsi="Calibri" w:cs="Calibri"/>
        </w:rPr>
        <w:t xml:space="preserve"> (11)</w:t>
      </w:r>
      <w:r w:rsidRPr="005A317D">
        <w:rPr>
          <w:rFonts w:ascii="Calibri" w:eastAsia="Calibri" w:hAnsi="Calibri" w:cs="Calibri"/>
        </w:rPr>
        <w:t>. Solan, et al. (2002) studied a Dynacast Prelude slab (Smith and Nephew) applied at a fracture clinic with no further follow up</w:t>
      </w:r>
      <w:r w:rsidR="009B6ECE">
        <w:rPr>
          <w:rFonts w:ascii="Calibri" w:eastAsia="Calibri" w:hAnsi="Calibri" w:cs="Calibri"/>
        </w:rPr>
        <w:t xml:space="preserve"> (3)</w:t>
      </w:r>
      <w:r w:rsidRPr="005A317D">
        <w:rPr>
          <w:rFonts w:ascii="Calibri" w:eastAsia="Calibri" w:hAnsi="Calibri" w:cs="Calibri"/>
        </w:rPr>
        <w:t>. West, et al. (2005) compared a soft bandage and a cast</w:t>
      </w:r>
      <w:r w:rsidR="00307C0B">
        <w:rPr>
          <w:rFonts w:ascii="Calibri" w:eastAsia="Calibri" w:hAnsi="Calibri" w:cs="Calibri"/>
        </w:rPr>
        <w:t xml:space="preserve"> (13)</w:t>
      </w:r>
      <w:r w:rsidRPr="005A317D">
        <w:rPr>
          <w:rFonts w:ascii="Calibri" w:eastAsia="Calibri" w:hAnsi="Calibri" w:cs="Calibri"/>
        </w:rPr>
        <w:t>. Van Bosse, et al. (2005) retrospectively reviewed a removable POP splint where parents were instructed on applying splint, based on symptoms</w:t>
      </w:r>
      <w:r w:rsidR="004507A8">
        <w:rPr>
          <w:rFonts w:ascii="Calibri" w:eastAsia="Calibri" w:hAnsi="Calibri" w:cs="Calibri"/>
        </w:rPr>
        <w:t xml:space="preserve"> (12)</w:t>
      </w:r>
      <w:r w:rsidRPr="005A317D">
        <w:rPr>
          <w:rFonts w:ascii="Calibri" w:eastAsia="Calibri" w:hAnsi="Calibri" w:cs="Calibri"/>
        </w:rPr>
        <w:t>. Plint,</w:t>
      </w:r>
      <w:r w:rsidRPr="005A317D">
        <w:rPr>
          <w:rFonts w:ascii="Calibri" w:eastAsia="Calibri" w:hAnsi="Calibri" w:cs="Arial"/>
        </w:rPr>
        <w:t xml:space="preserve"> et al. </w:t>
      </w:r>
      <w:r w:rsidRPr="000D4B17">
        <w:rPr>
          <w:rFonts w:ascii="Calibri" w:eastAsia="Calibri" w:hAnsi="Calibri" w:cs="Arial"/>
        </w:rPr>
        <w:t xml:space="preserve">(2006) compared a </w:t>
      </w:r>
      <w:r w:rsidRPr="000D4B17">
        <w:rPr>
          <w:rFonts w:ascii="Calibri" w:eastAsia="Calibri" w:hAnsi="Calibri" w:cs="Calibri"/>
        </w:rPr>
        <w:t>short below-elbow arm plaster cast and an individually fitted plaster splint</w:t>
      </w:r>
      <w:r w:rsidR="004507A8">
        <w:rPr>
          <w:rFonts w:ascii="Calibri" w:eastAsia="Calibri" w:hAnsi="Calibri" w:cs="Calibri"/>
        </w:rPr>
        <w:t xml:space="preserve"> (7)</w:t>
      </w:r>
      <w:r w:rsidRPr="000D4B17">
        <w:rPr>
          <w:rFonts w:ascii="Calibri" w:eastAsia="Calibri" w:hAnsi="Calibri" w:cs="Calibri"/>
        </w:rPr>
        <w:t>. Although the alternative methods of immobilisation in these studies vary, they share the common concept of using a flexible (bandage) or removable support (splint) method</w:t>
      </w:r>
      <w:r w:rsidRPr="002F45E7">
        <w:rPr>
          <w:rFonts w:ascii="Calibri" w:eastAsia="Calibri" w:hAnsi="Calibri" w:cs="Calibri"/>
        </w:rPr>
        <w:t xml:space="preserve"> </w:t>
      </w:r>
      <w:r w:rsidRPr="000D4B17">
        <w:rPr>
          <w:rFonts w:ascii="Calibri" w:eastAsia="Calibri" w:hAnsi="Calibri" w:cs="Calibri"/>
        </w:rPr>
        <w:t xml:space="preserve">rather than the usual </w:t>
      </w:r>
      <w:r>
        <w:rPr>
          <w:rFonts w:ascii="Calibri" w:eastAsia="Calibri" w:hAnsi="Calibri" w:cs="Calibri"/>
        </w:rPr>
        <w:t xml:space="preserve">cast </w:t>
      </w:r>
      <w:r w:rsidRPr="000D4B17">
        <w:rPr>
          <w:rFonts w:ascii="Calibri" w:eastAsia="Calibri" w:hAnsi="Calibri" w:cs="Calibri"/>
        </w:rPr>
        <w:t>immobilisation, except in Symons, et al. (2001) and Solan, et al. (2002), which compared home versus hospital removal of immobilisation method</w:t>
      </w:r>
      <w:r w:rsidR="004507A8">
        <w:rPr>
          <w:rFonts w:ascii="Calibri" w:eastAsia="Calibri" w:hAnsi="Calibri" w:cs="Calibri"/>
        </w:rPr>
        <w:t xml:space="preserve"> (3, 11).</w:t>
      </w:r>
      <w:r w:rsidRPr="000D4B17">
        <w:rPr>
          <w:rFonts w:ascii="Calibri" w:eastAsia="Calibri" w:hAnsi="Calibri" w:cs="Calibri"/>
        </w:rPr>
        <w:t xml:space="preserve"> </w:t>
      </w:r>
    </w:p>
    <w:p w14:paraId="42B8F0AB" w14:textId="0A3E95A3" w:rsidR="00B22921" w:rsidRPr="000D4B17" w:rsidRDefault="00B22921" w:rsidP="00AF6E96">
      <w:pPr>
        <w:rPr>
          <w:lang w:val="en-US"/>
        </w:rPr>
      </w:pPr>
      <w:bookmarkStart w:id="4" w:name="_Toc396766996"/>
      <w:r w:rsidRPr="000D4B17">
        <w:rPr>
          <w:lang w:val="en-US"/>
        </w:rPr>
        <w:t xml:space="preserve">Why is this </w:t>
      </w:r>
      <w:r w:rsidR="00C26A73">
        <w:rPr>
          <w:lang w:val="en-US"/>
        </w:rPr>
        <w:t>review important</w:t>
      </w:r>
      <w:r w:rsidRPr="000D4B17">
        <w:rPr>
          <w:lang w:val="en-US"/>
        </w:rPr>
        <w:t>?</w:t>
      </w:r>
      <w:bookmarkEnd w:id="4"/>
    </w:p>
    <w:p w14:paraId="4BF597D4" w14:textId="0ABA31F1" w:rsidR="00B22921" w:rsidRPr="000D4B17" w:rsidRDefault="00B22921" w:rsidP="00032435">
      <w:pPr>
        <w:spacing w:before="120" w:after="0" w:line="480" w:lineRule="auto"/>
        <w:jc w:val="both"/>
        <w:rPr>
          <w:rFonts w:ascii="Calibri" w:eastAsia="Calibri" w:hAnsi="Calibri" w:cs="Calibri"/>
        </w:rPr>
      </w:pPr>
      <w:r w:rsidRPr="000D4B17">
        <w:rPr>
          <w:rFonts w:ascii="Calibri" w:eastAsia="Calibri" w:hAnsi="Calibri" w:cs="Calibri"/>
        </w:rPr>
        <w:t>Torus fractures of distal radius are commonly encountered by emergency departments and fracture clinic clinicians and practitioners. Literature about the treatment and outcome of torus fractures of distal radius is not widely available, but classical teaching recommends cast</w:t>
      </w:r>
      <w:r w:rsidRPr="000D4B17" w:rsidDel="00AD7185">
        <w:rPr>
          <w:rFonts w:ascii="Calibri" w:eastAsia="Calibri" w:hAnsi="Calibri" w:cs="Calibri"/>
        </w:rPr>
        <w:t xml:space="preserve"> </w:t>
      </w:r>
      <w:r w:rsidRPr="000D4B17">
        <w:rPr>
          <w:rFonts w:ascii="Calibri" w:eastAsia="Calibri" w:hAnsi="Calibri" w:cs="Calibri"/>
        </w:rPr>
        <w:t>immobilisation for 2-4 weeks (</w:t>
      </w:r>
      <w:r w:rsidR="00D70A6F">
        <w:rPr>
          <w:rFonts w:ascii="Calibri" w:eastAsia="Calibri" w:hAnsi="Calibri" w:cs="Calibri"/>
        </w:rPr>
        <w:t>4</w:t>
      </w:r>
      <w:r w:rsidRPr="000D4B17">
        <w:rPr>
          <w:rFonts w:ascii="Calibri" w:eastAsia="Calibri" w:hAnsi="Calibri" w:cs="Calibri"/>
        </w:rPr>
        <w:t xml:space="preserve">). The use of a splint or removable cast is claimed to provide stability and comfort with the potential of providing higher satisfaction and less follow up in clinics. A literature review by Firmin and Crouch (2009) concluded that splints in treatment of torus fracture in emergency departments had </w:t>
      </w:r>
      <w:r w:rsidRPr="000D4B17">
        <w:rPr>
          <w:rFonts w:ascii="Calibri" w:eastAsia="Calibri" w:hAnsi="Calibri" w:cs="Calibri"/>
        </w:rPr>
        <w:lastRenderedPageBreak/>
        <w:t>better outcomes and were preferred by patients compared to conventional plaster cast</w:t>
      </w:r>
      <w:r w:rsidR="004507A8">
        <w:rPr>
          <w:rFonts w:ascii="Calibri" w:eastAsia="Calibri" w:hAnsi="Calibri" w:cs="Calibri"/>
        </w:rPr>
        <w:t xml:space="preserve"> (5)</w:t>
      </w:r>
      <w:r w:rsidRPr="000D4B17">
        <w:rPr>
          <w:rFonts w:ascii="Calibri" w:eastAsia="Calibri" w:hAnsi="Calibri" w:cs="Calibri"/>
        </w:rPr>
        <w:t xml:space="preserve">. However, the review lacks information about the review process and the validity of included studies. </w:t>
      </w:r>
      <w:r w:rsidR="00A41FEF" w:rsidRPr="000D4B17">
        <w:rPr>
          <w:rFonts w:ascii="Calibri" w:eastAsia="Calibri" w:hAnsi="Calibri" w:cs="Calibri"/>
        </w:rPr>
        <w:t>It failed to report whether more than one reviewer was involved in selecting the studies and extracting data or whether measures were taken to minimise the risk of reviewer error and bias. These factors make it difficult to evaluate the reliability of the evidence presented and the review’s conclusions should be interpreted with caution (</w:t>
      </w:r>
      <w:r w:rsidR="004507A8">
        <w:rPr>
          <w:rFonts w:ascii="Calibri" w:eastAsia="Calibri" w:hAnsi="Calibri" w:cs="Calibri"/>
        </w:rPr>
        <w:t>19</w:t>
      </w:r>
      <w:r w:rsidR="00A41FEF" w:rsidRPr="000D4B17">
        <w:rPr>
          <w:rFonts w:ascii="Calibri" w:eastAsia="Calibri" w:hAnsi="Calibri" w:cs="Calibri"/>
        </w:rPr>
        <w:t>).</w:t>
      </w:r>
      <w:r w:rsidR="00A41FEF">
        <w:rPr>
          <w:rFonts w:ascii="Calibri" w:eastAsia="Calibri" w:hAnsi="Calibri" w:cs="Calibri"/>
        </w:rPr>
        <w:t xml:space="preserve"> </w:t>
      </w:r>
      <w:r w:rsidRPr="000D4B17">
        <w:rPr>
          <w:rFonts w:ascii="Calibri" w:eastAsia="Calibri" w:hAnsi="Calibri" w:cs="Calibri"/>
        </w:rPr>
        <w:t>In the current literature, one systematic review was found that compared splint and cast in torus factures among other types of interventions in different wrist fractures in children (8). It concluded that the limited evidence supports the use of removable splint for buckle fractures.</w:t>
      </w:r>
      <w:r>
        <w:rPr>
          <w:rFonts w:ascii="Calibri" w:eastAsia="Calibri" w:hAnsi="Calibri" w:cs="Calibri"/>
        </w:rPr>
        <w:t xml:space="preserve"> </w:t>
      </w:r>
      <w:r w:rsidRPr="000D4B17">
        <w:rPr>
          <w:rFonts w:ascii="Calibri" w:eastAsia="Calibri" w:hAnsi="Calibri" w:cs="Calibri"/>
        </w:rPr>
        <w:t>Other than</w:t>
      </w:r>
      <w:r>
        <w:rPr>
          <w:rFonts w:ascii="Calibri" w:eastAsia="Calibri" w:hAnsi="Calibri" w:cs="Calibri"/>
        </w:rPr>
        <w:t xml:space="preserve"> </w:t>
      </w:r>
      <w:r w:rsidRPr="000D4B17">
        <w:rPr>
          <w:rFonts w:ascii="Calibri" w:eastAsia="Calibri" w:hAnsi="Calibri" w:cs="Calibri"/>
        </w:rPr>
        <w:t>narrative report of cost from one study, there was no further cost-effectiveness comparison or analysis between splint and cast, probably due to lack of research in this area as the review was conducted over five years ago.</w:t>
      </w:r>
    </w:p>
    <w:p w14:paraId="27CE7356" w14:textId="78599D36" w:rsidR="00B22921" w:rsidRPr="000D4B17" w:rsidRDefault="00B22921" w:rsidP="001F05CF">
      <w:pPr>
        <w:spacing w:before="120" w:after="0" w:line="480" w:lineRule="auto"/>
        <w:jc w:val="both"/>
        <w:rPr>
          <w:rFonts w:ascii="Calibri" w:eastAsia="Calibri" w:hAnsi="Calibri" w:cs="Calibri"/>
        </w:rPr>
      </w:pPr>
      <w:r w:rsidRPr="000D4B17">
        <w:rPr>
          <w:rFonts w:ascii="Calibri" w:eastAsia="Calibri" w:hAnsi="Calibri" w:cs="Calibri"/>
        </w:rPr>
        <w:t>We aim to provide a</w:t>
      </w:r>
      <w:r w:rsidR="00F47573">
        <w:rPr>
          <w:rFonts w:ascii="Calibri" w:eastAsia="Calibri" w:hAnsi="Calibri" w:cs="Calibri"/>
        </w:rPr>
        <w:t>n up-to-date</w:t>
      </w:r>
      <w:r w:rsidRPr="000D4B17">
        <w:rPr>
          <w:rFonts w:ascii="Calibri" w:eastAsia="Calibri" w:hAnsi="Calibri" w:cs="Calibri"/>
        </w:rPr>
        <w:t xml:space="preserve"> systematic review of the current available evidence with focus on effectiveness and cost-effectiveness of removable splints versus casts in treating torus wrist fractures in children.</w:t>
      </w:r>
    </w:p>
    <w:p w14:paraId="362B837C" w14:textId="4A8A6F33" w:rsidR="00B22921" w:rsidRPr="00A41FEF" w:rsidRDefault="00B22921" w:rsidP="00AF6E96">
      <w:pPr>
        <w:rPr>
          <w:b/>
          <w:bCs/>
          <w:lang w:val="en-US"/>
        </w:rPr>
      </w:pPr>
      <w:bookmarkStart w:id="5" w:name="_Toc396766997"/>
      <w:r w:rsidRPr="00A41FEF">
        <w:rPr>
          <w:b/>
          <w:bCs/>
          <w:lang w:val="en-US"/>
        </w:rPr>
        <w:t>Objectives</w:t>
      </w:r>
      <w:bookmarkEnd w:id="5"/>
      <w:r w:rsidRPr="00A41FEF">
        <w:rPr>
          <w:b/>
          <w:bCs/>
          <w:lang w:val="en-US"/>
        </w:rPr>
        <w:t xml:space="preserve"> </w:t>
      </w:r>
    </w:p>
    <w:p w14:paraId="3E5FEC56" w14:textId="1E04E96A" w:rsidR="00B22921" w:rsidRPr="000D4B17" w:rsidRDefault="00B22921" w:rsidP="00A41FEF">
      <w:pPr>
        <w:rPr>
          <w:rFonts w:ascii="Calibri" w:eastAsia="Calibri" w:hAnsi="Calibri" w:cs="Calibri"/>
        </w:rPr>
      </w:pPr>
      <w:r w:rsidRPr="000D4B17">
        <w:rPr>
          <w:rFonts w:ascii="Calibri" w:eastAsia="Calibri" w:hAnsi="Calibri" w:cs="Calibri"/>
        </w:rPr>
        <w:t>The aim of this review is to evaluate the effectiveness and cost-effectiveness of removable splints versus casts in the treatment of torus wrist fractures of children. Wrist fractures include distal radius or/and ulnar fractures.</w:t>
      </w:r>
    </w:p>
    <w:p w14:paraId="73273F36" w14:textId="77777777" w:rsidR="00B22921" w:rsidRPr="00A41FEF" w:rsidRDefault="00B22921" w:rsidP="00AF6E96">
      <w:pPr>
        <w:rPr>
          <w:b/>
          <w:bCs/>
          <w:lang w:val="en-US"/>
        </w:rPr>
      </w:pPr>
      <w:bookmarkStart w:id="6" w:name="_Toc396766998"/>
      <w:r w:rsidRPr="00A41FEF">
        <w:rPr>
          <w:b/>
          <w:bCs/>
          <w:lang w:val="en-US"/>
        </w:rPr>
        <w:t>Methods</w:t>
      </w:r>
      <w:bookmarkEnd w:id="6"/>
      <w:r w:rsidRPr="00A41FEF">
        <w:rPr>
          <w:b/>
          <w:bCs/>
          <w:lang w:val="en-US"/>
        </w:rPr>
        <w:t xml:space="preserve"> </w:t>
      </w:r>
    </w:p>
    <w:p w14:paraId="43B0E4A4" w14:textId="77777777" w:rsidR="00B22921" w:rsidRPr="000D4B17" w:rsidRDefault="00B22921" w:rsidP="00AF6E96">
      <w:pPr>
        <w:rPr>
          <w:rFonts w:eastAsia="Times New Roman"/>
          <w:lang w:val="en-US"/>
        </w:rPr>
      </w:pPr>
      <w:bookmarkStart w:id="7" w:name="_Toc396766999"/>
      <w:r w:rsidRPr="000D4B17">
        <w:rPr>
          <w:rFonts w:eastAsia="Times New Roman"/>
          <w:lang w:val="en-US"/>
        </w:rPr>
        <w:t>Criteria for including studies for this review</w:t>
      </w:r>
      <w:bookmarkEnd w:id="7"/>
    </w:p>
    <w:p w14:paraId="74404250" w14:textId="77777777" w:rsidR="00B22921" w:rsidRPr="000D4B17" w:rsidRDefault="00B22921" w:rsidP="00AF6E96">
      <w:pPr>
        <w:rPr>
          <w:rFonts w:eastAsia="Times New Roman"/>
          <w:lang w:val="en-US"/>
        </w:rPr>
      </w:pPr>
      <w:bookmarkStart w:id="8" w:name="_Toc396767000"/>
      <w:r w:rsidRPr="000D4B17">
        <w:rPr>
          <w:rFonts w:eastAsia="Times New Roman"/>
          <w:lang w:val="en-US"/>
        </w:rPr>
        <w:t>Types of studies</w:t>
      </w:r>
      <w:bookmarkEnd w:id="8"/>
    </w:p>
    <w:p w14:paraId="603CF5FD" w14:textId="40193D19" w:rsidR="00B22921" w:rsidRPr="000D4B17" w:rsidRDefault="00B22921" w:rsidP="00AF6E96">
      <w:pPr>
        <w:rPr>
          <w:rFonts w:ascii="Calibri" w:eastAsia="Calibri" w:hAnsi="Calibri" w:cs="Calibri"/>
        </w:rPr>
      </w:pPr>
      <w:r w:rsidRPr="000D4B17">
        <w:rPr>
          <w:rFonts w:ascii="Calibri" w:eastAsia="Calibri" w:hAnsi="Calibri" w:cs="Calibri"/>
        </w:rPr>
        <w:t>Studies were considered for review if they were randomised or quasi-randomised controlled trial comparing removable splints and casts for treating torus fractures of distal radius and/or ulna in children.</w:t>
      </w:r>
    </w:p>
    <w:p w14:paraId="1DB5DFBA" w14:textId="77777777" w:rsidR="00B22921" w:rsidRPr="000D4B17" w:rsidRDefault="00B22921" w:rsidP="00AF6E96">
      <w:pPr>
        <w:rPr>
          <w:rFonts w:eastAsia="Times New Roman"/>
          <w:lang w:val="en-US"/>
        </w:rPr>
      </w:pPr>
      <w:bookmarkStart w:id="9" w:name="_Toc396767001"/>
      <w:r w:rsidRPr="000D4B17">
        <w:rPr>
          <w:rFonts w:eastAsia="Times New Roman"/>
          <w:lang w:val="en-US"/>
        </w:rPr>
        <w:t>Types of participants</w:t>
      </w:r>
      <w:bookmarkEnd w:id="9"/>
    </w:p>
    <w:p w14:paraId="65549CDD" w14:textId="792E88BB" w:rsidR="00B22921" w:rsidRPr="000D4B17" w:rsidRDefault="00B22921" w:rsidP="00A41FEF">
      <w:pPr>
        <w:rPr>
          <w:rFonts w:ascii="Calibri" w:eastAsia="Calibri" w:hAnsi="Calibri" w:cs="Calibri"/>
        </w:rPr>
      </w:pPr>
      <w:r w:rsidRPr="000D4B17">
        <w:rPr>
          <w:rFonts w:ascii="Calibri" w:eastAsia="Calibri" w:hAnsi="Calibri" w:cs="Calibri"/>
        </w:rPr>
        <w:t>Children, of either sex, with torus wrist fractures</w:t>
      </w:r>
      <w:r>
        <w:rPr>
          <w:rFonts w:ascii="Calibri" w:eastAsia="Calibri" w:hAnsi="Calibri" w:cs="Calibri"/>
        </w:rPr>
        <w:t xml:space="preserve"> </w:t>
      </w:r>
      <w:r w:rsidRPr="000D4B17">
        <w:rPr>
          <w:rFonts w:ascii="Calibri" w:eastAsia="Calibri" w:hAnsi="Calibri" w:cs="Calibri"/>
        </w:rPr>
        <w:t>were diagnosed objectively through radiological study.</w:t>
      </w:r>
    </w:p>
    <w:p w14:paraId="7A12B042" w14:textId="77777777" w:rsidR="00B22921" w:rsidRPr="000D4B17" w:rsidRDefault="00B22921" w:rsidP="00AF6E96">
      <w:pPr>
        <w:rPr>
          <w:rFonts w:eastAsia="Times New Roman"/>
          <w:lang w:val="en-US"/>
        </w:rPr>
      </w:pPr>
      <w:bookmarkStart w:id="10" w:name="_Toc396767002"/>
      <w:r w:rsidRPr="000D4B17">
        <w:rPr>
          <w:rFonts w:eastAsia="Times New Roman"/>
          <w:lang w:val="en-US"/>
        </w:rPr>
        <w:t>Types of interventions</w:t>
      </w:r>
      <w:bookmarkEnd w:id="10"/>
    </w:p>
    <w:p w14:paraId="4E120C49" w14:textId="7F2EB9E6" w:rsidR="00B22921" w:rsidRPr="000D4B17" w:rsidRDefault="00B22921" w:rsidP="0005312C">
      <w:pPr>
        <w:rPr>
          <w:rFonts w:ascii="Calibri" w:eastAsia="Calibri" w:hAnsi="Calibri" w:cs="Calibri"/>
        </w:rPr>
      </w:pPr>
      <w:r w:rsidRPr="000D4B17">
        <w:rPr>
          <w:rFonts w:ascii="Calibri" w:eastAsia="Calibri" w:hAnsi="Calibri" w:cs="Calibri"/>
        </w:rPr>
        <w:lastRenderedPageBreak/>
        <w:t xml:space="preserve">The comparison groups were children with torus wrist fractures who were treated with splint and those treated with cast. </w:t>
      </w:r>
      <w:proofErr w:type="gramStart"/>
      <w:r w:rsidRPr="000D4B17">
        <w:rPr>
          <w:rFonts w:ascii="Calibri" w:eastAsia="Calibri" w:hAnsi="Calibri" w:cs="Calibri"/>
        </w:rPr>
        <w:t>For the purpose of</w:t>
      </w:r>
      <w:proofErr w:type="gramEnd"/>
      <w:r w:rsidRPr="000D4B17">
        <w:rPr>
          <w:rFonts w:ascii="Calibri" w:eastAsia="Calibri" w:hAnsi="Calibri" w:cs="Calibri"/>
        </w:rPr>
        <w:t xml:space="preserve"> this review, “splint” refers to any method of removable support while “cast” refers to any continuous immobilisation method for the entire period of treatment, not including any short removal of the cast for replacement (e.g. in fracture clinics). </w:t>
      </w:r>
    </w:p>
    <w:p w14:paraId="256E3113" w14:textId="77777777" w:rsidR="00B22921" w:rsidRPr="000D4B17" w:rsidRDefault="00B22921" w:rsidP="00AF6E96">
      <w:pPr>
        <w:rPr>
          <w:rFonts w:eastAsia="Times New Roman"/>
          <w:lang w:val="en-US"/>
        </w:rPr>
      </w:pPr>
      <w:bookmarkStart w:id="11" w:name="_Toc396767003"/>
      <w:r w:rsidRPr="000D4B17">
        <w:rPr>
          <w:rFonts w:eastAsia="Times New Roman"/>
          <w:lang w:val="en-US"/>
        </w:rPr>
        <w:t>Types of outcome measures</w:t>
      </w:r>
      <w:bookmarkEnd w:id="11"/>
    </w:p>
    <w:p w14:paraId="0F5D769A" w14:textId="77777777" w:rsidR="00B22921" w:rsidRPr="000D4B17" w:rsidRDefault="00B22921" w:rsidP="00AF6E96">
      <w:pPr>
        <w:rPr>
          <w:rFonts w:ascii="Calibri" w:eastAsia="Calibri" w:hAnsi="Calibri" w:cs="Calibri"/>
        </w:rPr>
      </w:pPr>
      <w:r w:rsidRPr="000D4B17">
        <w:rPr>
          <w:rFonts w:ascii="Calibri" w:eastAsia="Calibri" w:hAnsi="Calibri" w:cs="Calibri"/>
        </w:rPr>
        <w:t>The ideal primary outcome of the review would be a restoration of the anatomical position of the fracture and the physical function of the wrist in the shortest possible and pain-free period without complications or need for further intervention. For practical reasons, we classify the outcomes of interest in this review into four groups:</w:t>
      </w:r>
    </w:p>
    <w:p w14:paraId="0F9BBD7A" w14:textId="77777777" w:rsidR="00B22921" w:rsidRPr="000D4B17" w:rsidRDefault="00B22921" w:rsidP="00AF6E96">
      <w:pPr>
        <w:rPr>
          <w:rFonts w:ascii="Calibri" w:eastAsia="Calibri" w:hAnsi="Calibri" w:cs="Calibri"/>
        </w:rPr>
      </w:pPr>
      <w:r w:rsidRPr="000D4B17">
        <w:rPr>
          <w:rFonts w:ascii="Calibri" w:eastAsia="Calibri" w:hAnsi="Calibri" w:cs="Calibri"/>
        </w:rPr>
        <w:t>• Positive outcomes: Includes functional assessment (using a validated assessment tool), range of movement, grip strength and, when reported, restoration of anatomy.</w:t>
      </w:r>
    </w:p>
    <w:p w14:paraId="64C0A864" w14:textId="77777777" w:rsidR="00B22921" w:rsidRPr="000D4B17" w:rsidRDefault="00B22921" w:rsidP="00AF6E96">
      <w:pPr>
        <w:rPr>
          <w:rFonts w:ascii="Calibri" w:eastAsia="Calibri" w:hAnsi="Calibri" w:cs="Calibri"/>
        </w:rPr>
      </w:pPr>
      <w:r w:rsidRPr="000D4B17">
        <w:rPr>
          <w:rFonts w:ascii="Calibri" w:eastAsia="Calibri" w:hAnsi="Calibri" w:cs="Calibri"/>
        </w:rPr>
        <w:t>• Negative outcomes: Includes pain, complications, deformity and need for further intervention. Complications which will be addressed include both fracture complications (e.g. re-fracture and deformity) and intervention-specific complications (e.g. skin rashes, blisters and burns).</w:t>
      </w:r>
    </w:p>
    <w:p w14:paraId="4E08F193" w14:textId="77777777" w:rsidR="00B22921" w:rsidRPr="000D4B17" w:rsidRDefault="00B22921" w:rsidP="00AF6E96">
      <w:pPr>
        <w:rPr>
          <w:rFonts w:ascii="Calibri" w:eastAsia="Calibri" w:hAnsi="Calibri" w:cs="Calibri"/>
        </w:rPr>
      </w:pPr>
      <w:r w:rsidRPr="000D4B17">
        <w:rPr>
          <w:rFonts w:ascii="Calibri" w:eastAsia="Calibri" w:hAnsi="Calibri" w:cs="Calibri"/>
        </w:rPr>
        <w:t>• Patient and parent satisfaction with and adherence (compliance) to immobilisation method.</w:t>
      </w:r>
    </w:p>
    <w:p w14:paraId="482867CC" w14:textId="77777777" w:rsidR="00B22921" w:rsidRPr="000D4B17" w:rsidRDefault="00B22921" w:rsidP="00AF6E96">
      <w:pPr>
        <w:rPr>
          <w:rFonts w:ascii="Calibri" w:eastAsia="Calibri" w:hAnsi="Calibri" w:cs="Calibri"/>
        </w:rPr>
      </w:pPr>
      <w:r w:rsidRPr="000D4B17">
        <w:rPr>
          <w:rFonts w:ascii="Calibri" w:eastAsia="Calibri" w:hAnsi="Calibri" w:cs="Calibri"/>
        </w:rPr>
        <w:t>• Resources use and cost effect: Includes cost of material used to stabilise the fracture, number of visits to the clinic, and any cost incurred due to complications, access to physiotherapy, hospital stay, if any, visits to general practitioner or any unplanned hospital visit (e.g. emergency department), child absence from</w:t>
      </w:r>
      <w:r>
        <w:rPr>
          <w:rFonts w:ascii="Calibri" w:eastAsia="Calibri" w:hAnsi="Calibri" w:cs="Calibri"/>
        </w:rPr>
        <w:t xml:space="preserve"> </w:t>
      </w:r>
      <w:r w:rsidRPr="000D4B17">
        <w:rPr>
          <w:rFonts w:ascii="Calibri" w:eastAsia="Calibri" w:hAnsi="Calibri" w:cs="Calibri"/>
        </w:rPr>
        <w:t>school and</w:t>
      </w:r>
      <w:r>
        <w:rPr>
          <w:rFonts w:ascii="Calibri" w:eastAsia="Calibri" w:hAnsi="Calibri" w:cs="Calibri"/>
        </w:rPr>
        <w:t xml:space="preserve"> </w:t>
      </w:r>
      <w:r w:rsidRPr="000D4B17">
        <w:rPr>
          <w:rFonts w:ascii="Calibri" w:eastAsia="Calibri" w:hAnsi="Calibri" w:cs="Calibri"/>
        </w:rPr>
        <w:t>any other reported cost.</w:t>
      </w:r>
    </w:p>
    <w:p w14:paraId="5122DD51" w14:textId="5F08294C" w:rsidR="00B22921" w:rsidRPr="000D4B17" w:rsidRDefault="00B22921" w:rsidP="00AF6E96">
      <w:pPr>
        <w:rPr>
          <w:rFonts w:eastAsia="Times New Roman"/>
          <w:lang w:val="en-US"/>
        </w:rPr>
      </w:pPr>
      <w:bookmarkStart w:id="12" w:name="_Toc396767004"/>
      <w:r w:rsidRPr="000D4B17">
        <w:rPr>
          <w:rFonts w:eastAsia="Times New Roman"/>
          <w:lang w:val="en-US"/>
        </w:rPr>
        <w:t>Search methods for identification of studies</w:t>
      </w:r>
      <w:bookmarkEnd w:id="12"/>
    </w:p>
    <w:p w14:paraId="41914EF5" w14:textId="4CD81309" w:rsidR="00B22921" w:rsidRPr="000D4B17" w:rsidRDefault="00B22921" w:rsidP="0005312C">
      <w:pPr>
        <w:rPr>
          <w:rFonts w:ascii="Calibri" w:eastAsia="Calibri" w:hAnsi="Calibri" w:cs="Calibri"/>
        </w:rPr>
      </w:pPr>
      <w:r w:rsidRPr="000D4B17">
        <w:rPr>
          <w:rFonts w:ascii="Calibri" w:eastAsia="Calibri" w:hAnsi="Calibri" w:cs="Calibri"/>
        </w:rPr>
        <w:t xml:space="preserve">The following resources </w:t>
      </w:r>
      <w:r w:rsidR="0005312C">
        <w:rPr>
          <w:rFonts w:ascii="Calibri" w:eastAsia="Calibri" w:hAnsi="Calibri" w:cs="Calibri"/>
        </w:rPr>
        <w:t xml:space="preserve">were </w:t>
      </w:r>
      <w:r w:rsidRPr="000D4B17">
        <w:rPr>
          <w:rFonts w:ascii="Calibri" w:eastAsia="Calibri" w:hAnsi="Calibri" w:cs="Calibri"/>
        </w:rPr>
        <w:t>searched:</w:t>
      </w:r>
    </w:p>
    <w:p w14:paraId="7E8EE15F" w14:textId="77777777" w:rsidR="00B22921" w:rsidRPr="000D4B17" w:rsidRDefault="00B22921" w:rsidP="00AF6E96">
      <w:pPr>
        <w:rPr>
          <w:rFonts w:eastAsia="Times New Roman"/>
          <w:lang w:val="en-US"/>
        </w:rPr>
      </w:pPr>
      <w:bookmarkStart w:id="13" w:name="_Toc396767005"/>
      <w:r w:rsidRPr="000D4B17">
        <w:rPr>
          <w:rFonts w:eastAsia="Times New Roman"/>
          <w:lang w:val="en-US"/>
        </w:rPr>
        <w:t>Electronic databases</w:t>
      </w:r>
      <w:bookmarkEnd w:id="13"/>
      <w:r w:rsidRPr="000D4B17">
        <w:rPr>
          <w:rFonts w:eastAsia="Times New Roman"/>
          <w:lang w:val="en-US"/>
        </w:rPr>
        <w:t xml:space="preserve"> </w:t>
      </w:r>
    </w:p>
    <w:p w14:paraId="4A68E795" w14:textId="41585CDF" w:rsidR="00B22921" w:rsidRPr="000D4B17" w:rsidRDefault="00B22921" w:rsidP="0005312C">
      <w:pPr>
        <w:rPr>
          <w:rFonts w:ascii="Calibri" w:eastAsia="Calibri" w:hAnsi="Calibri" w:cs="Calibri"/>
        </w:rPr>
      </w:pPr>
      <w:r w:rsidRPr="000D4B17">
        <w:rPr>
          <w:rFonts w:ascii="Calibri" w:eastAsia="Calibri" w:hAnsi="Calibri" w:cs="Calibri"/>
        </w:rPr>
        <w:t xml:space="preserve">A thorough database search was conducted on the following electronic databases: </w:t>
      </w:r>
    </w:p>
    <w:p w14:paraId="35891286" w14:textId="77777777" w:rsidR="00B22921" w:rsidRPr="000D4B17" w:rsidRDefault="00B22921" w:rsidP="00AF6E96">
      <w:pPr>
        <w:rPr>
          <w:rFonts w:ascii="Calibri" w:eastAsia="Calibri" w:hAnsi="Calibri" w:cs="Calibri"/>
        </w:rPr>
      </w:pPr>
      <w:r w:rsidRPr="000D4B17">
        <w:rPr>
          <w:rFonts w:ascii="Calibri" w:eastAsia="Calibri" w:hAnsi="Calibri" w:cs="Calibri"/>
        </w:rPr>
        <w:t>• Medline (1950 to present)</w:t>
      </w:r>
    </w:p>
    <w:p w14:paraId="66987EE3" w14:textId="77777777" w:rsidR="00B22921" w:rsidRPr="000D4B17" w:rsidRDefault="00B22921" w:rsidP="00AF6E96">
      <w:pPr>
        <w:rPr>
          <w:rFonts w:ascii="Calibri" w:eastAsia="Calibri" w:hAnsi="Calibri" w:cs="Calibri"/>
        </w:rPr>
      </w:pPr>
      <w:r w:rsidRPr="000D4B17">
        <w:rPr>
          <w:rFonts w:ascii="Calibri" w:eastAsia="Calibri" w:hAnsi="Calibri" w:cs="Calibri"/>
        </w:rPr>
        <w:t>• Excerpta Medica Database (EMBASE) (1980 to present)</w:t>
      </w:r>
    </w:p>
    <w:p w14:paraId="0348AD00" w14:textId="77777777" w:rsidR="00B22921" w:rsidRPr="000D4B17" w:rsidRDefault="00B22921" w:rsidP="00AF6E96">
      <w:pPr>
        <w:rPr>
          <w:rFonts w:ascii="Calibri" w:eastAsia="Calibri" w:hAnsi="Calibri" w:cs="Calibri"/>
        </w:rPr>
      </w:pPr>
      <w:r w:rsidRPr="000D4B17">
        <w:rPr>
          <w:rFonts w:ascii="Calibri" w:eastAsia="Calibri" w:hAnsi="Calibri" w:cs="Calibri"/>
        </w:rPr>
        <w:t>• Allied and Complementary Medicine (AMED) (1985 to present)</w:t>
      </w:r>
    </w:p>
    <w:p w14:paraId="16218702" w14:textId="77777777" w:rsidR="00B22921" w:rsidRPr="000D4B17" w:rsidRDefault="00B22921" w:rsidP="00AF6E96">
      <w:pPr>
        <w:rPr>
          <w:rFonts w:ascii="Calibri" w:eastAsia="Calibri" w:hAnsi="Calibri" w:cs="Calibri"/>
        </w:rPr>
      </w:pPr>
      <w:r w:rsidRPr="000D4B17">
        <w:rPr>
          <w:rFonts w:ascii="Calibri" w:eastAsia="Calibri" w:hAnsi="Calibri" w:cs="Calibri"/>
        </w:rPr>
        <w:t>• British Nursing Index (BNI) (1992 to present)</w:t>
      </w:r>
    </w:p>
    <w:p w14:paraId="1F451F70" w14:textId="77777777" w:rsidR="00B22921" w:rsidRPr="000D4B17" w:rsidRDefault="00B22921" w:rsidP="00AF6E96">
      <w:pPr>
        <w:rPr>
          <w:rFonts w:ascii="Calibri" w:eastAsia="Calibri" w:hAnsi="Calibri" w:cs="Calibri"/>
        </w:rPr>
      </w:pPr>
      <w:r w:rsidRPr="000D4B17">
        <w:rPr>
          <w:rFonts w:ascii="Calibri" w:eastAsia="Calibri" w:hAnsi="Calibri" w:cs="Calibri"/>
        </w:rPr>
        <w:t>• Cumulative Index to Nursing and Allied Health Literature (CINAHL) (1981 to present)</w:t>
      </w:r>
    </w:p>
    <w:p w14:paraId="39D3CFA6" w14:textId="77777777" w:rsidR="00B22921" w:rsidRPr="000D4B17" w:rsidRDefault="00B22921" w:rsidP="00AF6E96">
      <w:pPr>
        <w:rPr>
          <w:rFonts w:ascii="Calibri" w:eastAsia="Calibri" w:hAnsi="Calibri" w:cs="Calibri"/>
        </w:rPr>
      </w:pPr>
      <w:r w:rsidRPr="000D4B17">
        <w:rPr>
          <w:rFonts w:ascii="Calibri" w:eastAsia="Calibri" w:hAnsi="Calibri" w:cs="Calibri"/>
        </w:rPr>
        <w:t>• Health Business Elite (1922 to present)</w:t>
      </w:r>
    </w:p>
    <w:p w14:paraId="0DD1E37B" w14:textId="77777777" w:rsidR="00B22921" w:rsidRPr="000D4B17" w:rsidRDefault="00B22921" w:rsidP="00AF6E96">
      <w:pPr>
        <w:rPr>
          <w:rFonts w:ascii="Calibri" w:eastAsia="Calibri" w:hAnsi="Calibri" w:cs="Calibri"/>
        </w:rPr>
      </w:pPr>
      <w:r w:rsidRPr="000D4B17">
        <w:rPr>
          <w:rFonts w:ascii="Calibri" w:eastAsia="Calibri" w:hAnsi="Calibri" w:cs="Calibri"/>
        </w:rPr>
        <w:t>• The Cochrane Library</w:t>
      </w:r>
    </w:p>
    <w:p w14:paraId="4810A6CC" w14:textId="77777777" w:rsidR="00B22921" w:rsidRPr="000D4B17" w:rsidRDefault="00B22921" w:rsidP="00AF6E96">
      <w:pPr>
        <w:rPr>
          <w:rFonts w:ascii="Calibri" w:eastAsia="Calibri" w:hAnsi="Calibri" w:cs="Calibri"/>
        </w:rPr>
      </w:pPr>
      <w:r w:rsidRPr="000D4B17">
        <w:rPr>
          <w:rFonts w:ascii="Calibri" w:eastAsia="Calibri" w:hAnsi="Calibri" w:cs="Calibri"/>
        </w:rPr>
        <w:t>• Database of Abstracts of Reviews of Effect (DARE)</w:t>
      </w:r>
    </w:p>
    <w:p w14:paraId="41DBB407" w14:textId="77777777" w:rsidR="00B22921" w:rsidRPr="000D4B17" w:rsidRDefault="00B22921" w:rsidP="00AF6E96">
      <w:pPr>
        <w:rPr>
          <w:rFonts w:ascii="Calibri" w:eastAsia="Calibri" w:hAnsi="Calibri" w:cs="Calibri"/>
        </w:rPr>
      </w:pPr>
      <w:r w:rsidRPr="000D4B17">
        <w:rPr>
          <w:rFonts w:ascii="Calibri" w:eastAsia="Calibri" w:hAnsi="Calibri" w:cs="Calibri"/>
        </w:rPr>
        <w:t>• NHS Economic Evaluation Database (NHS EED)</w:t>
      </w:r>
    </w:p>
    <w:p w14:paraId="24965B2B" w14:textId="77777777" w:rsidR="00B22921" w:rsidRPr="000D4B17" w:rsidRDefault="00B22921" w:rsidP="00AF6E96">
      <w:pPr>
        <w:rPr>
          <w:rFonts w:ascii="Calibri" w:eastAsia="Calibri" w:hAnsi="Calibri" w:cs="Calibri"/>
        </w:rPr>
      </w:pPr>
      <w:r w:rsidRPr="000D4B17">
        <w:rPr>
          <w:rFonts w:ascii="Calibri" w:eastAsia="Calibri" w:hAnsi="Calibri" w:cs="Calibri"/>
        </w:rPr>
        <w:lastRenderedPageBreak/>
        <w:t xml:space="preserve">• Health Technology Assessment (HTA) </w:t>
      </w:r>
    </w:p>
    <w:p w14:paraId="3734464E" w14:textId="43E7688F" w:rsidR="00B22921" w:rsidRDefault="00B22921" w:rsidP="00AF6E96">
      <w:pPr>
        <w:rPr>
          <w:rFonts w:ascii="Calibri" w:eastAsia="Calibri" w:hAnsi="Calibri" w:cs="Calibri"/>
        </w:rPr>
      </w:pPr>
      <w:r w:rsidRPr="000D4B17">
        <w:rPr>
          <w:rFonts w:ascii="Calibri" w:eastAsia="Calibri" w:hAnsi="Calibri" w:cs="Calibri"/>
        </w:rPr>
        <w:t>The Medline, EMBASE, AMED, BNI, CINAHL and Health Business Elite databases were searched</w:t>
      </w:r>
      <w:r w:rsidR="00920B8B">
        <w:rPr>
          <w:rFonts w:ascii="Calibri" w:eastAsia="Calibri" w:hAnsi="Calibri" w:cs="Calibri"/>
        </w:rPr>
        <w:t xml:space="preserve"> </w:t>
      </w:r>
      <w:r w:rsidRPr="000D4B17">
        <w:rPr>
          <w:rFonts w:ascii="Calibri" w:eastAsia="Calibri" w:hAnsi="Calibri" w:cs="Calibri"/>
        </w:rPr>
        <w:t>through the NHS Library website (http://library.nhs.uk). The Cochrane Library was searched on:</w:t>
      </w:r>
      <w:r w:rsidR="00920B8B">
        <w:rPr>
          <w:rFonts w:ascii="Calibri" w:eastAsia="Calibri" w:hAnsi="Calibri" w:cs="Calibri"/>
        </w:rPr>
        <w:t xml:space="preserve"> </w:t>
      </w:r>
      <w:r w:rsidRPr="000D4B17">
        <w:rPr>
          <w:rFonts w:ascii="Calibri" w:eastAsia="Calibri" w:hAnsi="Calibri" w:cs="Calibri"/>
        </w:rPr>
        <w:t>http://onlinelibrary.wiley.com/cochranelibrary/search/; and DARE, NHS EED and HTA</w:t>
      </w:r>
      <w:r w:rsidR="00920B8B">
        <w:rPr>
          <w:rFonts w:ascii="Calibri" w:eastAsia="Calibri" w:hAnsi="Calibri" w:cs="Calibri"/>
        </w:rPr>
        <w:t xml:space="preserve"> </w:t>
      </w:r>
      <w:r w:rsidRPr="000D4B17">
        <w:rPr>
          <w:rFonts w:ascii="Calibri" w:eastAsia="Calibri" w:hAnsi="Calibri" w:cs="Calibri"/>
        </w:rPr>
        <w:t>were searched</w:t>
      </w:r>
      <w:r w:rsidR="00920B8B">
        <w:rPr>
          <w:rFonts w:ascii="Calibri" w:eastAsia="Calibri" w:hAnsi="Calibri" w:cs="Calibri"/>
        </w:rPr>
        <w:t xml:space="preserve"> </w:t>
      </w:r>
      <w:r w:rsidRPr="000D4B17">
        <w:rPr>
          <w:rFonts w:ascii="Calibri" w:eastAsia="Calibri" w:hAnsi="Calibri" w:cs="Calibri"/>
        </w:rPr>
        <w:t>on Centre for Reviews and Dissemination (CRD) website:</w:t>
      </w:r>
      <w:r>
        <w:rPr>
          <w:rFonts w:ascii="Calibri" w:eastAsia="Calibri" w:hAnsi="Calibri" w:cs="Calibri"/>
        </w:rPr>
        <w:t xml:space="preserve"> </w:t>
      </w:r>
      <w:r w:rsidR="00920B8B" w:rsidRPr="00920B8B">
        <w:rPr>
          <w:rFonts w:ascii="Calibri" w:eastAsia="Calibri" w:hAnsi="Calibri" w:cs="Calibri"/>
        </w:rPr>
        <w:t>http://www.crd.york.ac.uk/CRDWeb/</w:t>
      </w:r>
    </w:p>
    <w:p w14:paraId="6B79F553" w14:textId="6C6AB7D2" w:rsidR="00B22921" w:rsidRPr="000D4B17" w:rsidRDefault="00B22921" w:rsidP="0005312C">
      <w:pPr>
        <w:rPr>
          <w:rFonts w:ascii="Calibri" w:eastAsia="Calibri" w:hAnsi="Calibri" w:cs="Calibri"/>
        </w:rPr>
      </w:pPr>
      <w:r w:rsidRPr="000D4B17">
        <w:rPr>
          <w:rFonts w:ascii="Calibri" w:eastAsia="Calibri" w:hAnsi="Calibri" w:cs="Calibri"/>
        </w:rPr>
        <w:t xml:space="preserve">The key terms searched include: torus fracture, wrist fracture, radial fracture and ulnar fracture. The interventions (cast and removable splints) and outcomes were not included in the search strategy to avoid missing studies that use different names or terms for the same intervention and/or outcome. The search terminology considered synonyms (e.g. buckle for torus), different spelling, if applicable (e.g. British and American English), and derivatives (e.g. fracture, fractures and fractured). Medical Subject Headings (MeSH) terms were also searched. The full search strategy is </w:t>
      </w:r>
      <w:r w:rsidR="006A4625">
        <w:rPr>
          <w:rFonts w:ascii="Calibri" w:eastAsia="Calibri" w:hAnsi="Calibri" w:cs="Calibri"/>
        </w:rPr>
        <w:t>available from the author on request</w:t>
      </w:r>
      <w:r w:rsidRPr="000D4B17">
        <w:rPr>
          <w:rFonts w:ascii="Calibri" w:eastAsia="Calibri" w:hAnsi="Calibri" w:cs="Calibri"/>
        </w:rPr>
        <w:t xml:space="preserve">. Time or language limitations or other limitations were not applied during the database search. </w:t>
      </w:r>
    </w:p>
    <w:p w14:paraId="27D12EDC" w14:textId="77777777" w:rsidR="00032435" w:rsidRPr="000D4B17" w:rsidRDefault="00B22921" w:rsidP="00032435">
      <w:pPr>
        <w:rPr>
          <w:rFonts w:eastAsia="Times New Roman"/>
          <w:lang w:val="en-US"/>
        </w:rPr>
      </w:pPr>
      <w:bookmarkStart w:id="14" w:name="_Toc396767006"/>
      <w:r w:rsidRPr="000D4B17">
        <w:rPr>
          <w:rFonts w:eastAsia="Times New Roman"/>
          <w:lang w:val="en-US"/>
        </w:rPr>
        <w:t>Handsearch</w:t>
      </w:r>
      <w:bookmarkEnd w:id="14"/>
      <w:r w:rsidR="00032435">
        <w:rPr>
          <w:rFonts w:eastAsia="Times New Roman"/>
          <w:lang w:val="en-US"/>
        </w:rPr>
        <w:t xml:space="preserve">, </w:t>
      </w:r>
      <w:bookmarkStart w:id="15" w:name="_Toc396767008"/>
      <w:r w:rsidR="00032435" w:rsidRPr="000D4B17">
        <w:rPr>
          <w:rFonts w:eastAsia="Times New Roman"/>
          <w:lang w:val="en-US"/>
        </w:rPr>
        <w:t>Other sources and grey literature</w:t>
      </w:r>
      <w:bookmarkEnd w:id="15"/>
      <w:r w:rsidR="00032435" w:rsidRPr="000D4B17">
        <w:rPr>
          <w:rFonts w:eastAsia="Times New Roman"/>
          <w:lang w:val="en-US"/>
        </w:rPr>
        <w:t xml:space="preserve"> </w:t>
      </w:r>
    </w:p>
    <w:p w14:paraId="70F0E95C" w14:textId="4C6426B3" w:rsidR="00B22921" w:rsidRDefault="00B22921" w:rsidP="00032435">
      <w:pPr>
        <w:rPr>
          <w:rFonts w:ascii="Calibri" w:eastAsia="Calibri" w:hAnsi="Calibri" w:cs="Calibri"/>
        </w:rPr>
      </w:pPr>
      <w:r w:rsidRPr="000D4B17">
        <w:rPr>
          <w:rFonts w:ascii="Calibri" w:eastAsia="Calibri" w:hAnsi="Calibri" w:cs="Calibri"/>
        </w:rPr>
        <w:t>Leading journals in both Trauma and Orthopaedics and in Emergency Medicine and major general journals were handsearched on their websites or the publishers’ websites</w:t>
      </w:r>
      <w:r w:rsidR="00032435">
        <w:rPr>
          <w:rFonts w:ascii="Calibri" w:eastAsia="Calibri" w:hAnsi="Calibri" w:cs="Calibri"/>
        </w:rPr>
        <w:t xml:space="preserve">. </w:t>
      </w:r>
      <w:r w:rsidR="00032435" w:rsidRPr="000D4B17">
        <w:rPr>
          <w:rFonts w:ascii="Calibri" w:eastAsia="Calibri" w:hAnsi="Calibri" w:cs="Calibri"/>
        </w:rPr>
        <w:t>Annual meetings and conferences proceedings, and unpublished studies and current trials were also searched (</w:t>
      </w:r>
      <w:r w:rsidR="00032435">
        <w:rPr>
          <w:rFonts w:ascii="Calibri" w:eastAsia="Calibri" w:hAnsi="Calibri" w:cs="Calibri"/>
        </w:rPr>
        <w:t>full lists are available from the author on request</w:t>
      </w:r>
      <w:r w:rsidR="00032435" w:rsidRPr="000D4B17">
        <w:rPr>
          <w:rFonts w:ascii="Calibri" w:eastAsia="Calibri" w:hAnsi="Calibri" w:cs="Calibri"/>
        </w:rPr>
        <w:t>).</w:t>
      </w:r>
    </w:p>
    <w:p w14:paraId="653554C6" w14:textId="77777777" w:rsidR="00B22921" w:rsidRPr="000D4B17" w:rsidRDefault="00B22921" w:rsidP="00AF6E96">
      <w:pPr>
        <w:rPr>
          <w:rFonts w:eastAsia="Times New Roman"/>
          <w:lang w:val="en-US"/>
        </w:rPr>
      </w:pPr>
      <w:bookmarkStart w:id="16" w:name="_Toc396767007"/>
      <w:r w:rsidRPr="000D4B17">
        <w:rPr>
          <w:rFonts w:eastAsia="Times New Roman"/>
          <w:lang w:val="en-US"/>
        </w:rPr>
        <w:t>Reference lists of identified articles</w:t>
      </w:r>
      <w:bookmarkEnd w:id="16"/>
    </w:p>
    <w:p w14:paraId="4A020E90" w14:textId="77777777" w:rsidR="00B22921" w:rsidRPr="000D4B17" w:rsidRDefault="00B22921" w:rsidP="00AF6E96">
      <w:pPr>
        <w:rPr>
          <w:rFonts w:ascii="Calibri" w:eastAsia="Calibri" w:hAnsi="Calibri" w:cs="Calibri"/>
        </w:rPr>
      </w:pPr>
      <w:r w:rsidRPr="000D4B17">
        <w:rPr>
          <w:rFonts w:ascii="Calibri" w:eastAsia="Calibri" w:hAnsi="Calibri" w:cs="Calibri"/>
        </w:rPr>
        <w:t xml:space="preserve">Reference lists of all trials and reviews related to the topic and identified during database search and handsearch were screened for potential studies to be included in this review. </w:t>
      </w:r>
    </w:p>
    <w:p w14:paraId="7C4C616C" w14:textId="77777777" w:rsidR="00B22921" w:rsidRPr="000D4B17" w:rsidRDefault="00B22921" w:rsidP="00AF6E96">
      <w:pPr>
        <w:rPr>
          <w:rFonts w:eastAsia="Times New Roman"/>
          <w:lang w:val="en-US"/>
        </w:rPr>
      </w:pPr>
      <w:bookmarkStart w:id="17" w:name="_Toc396767009"/>
      <w:r w:rsidRPr="000D4B17">
        <w:rPr>
          <w:rFonts w:eastAsia="Times New Roman"/>
          <w:lang w:val="en-US"/>
        </w:rPr>
        <w:t>Data collection and analysis</w:t>
      </w:r>
      <w:bookmarkEnd w:id="17"/>
    </w:p>
    <w:p w14:paraId="19426326" w14:textId="77777777" w:rsidR="00B22921" w:rsidRPr="000D4B17" w:rsidRDefault="00B22921" w:rsidP="00AF6E96">
      <w:pPr>
        <w:rPr>
          <w:rFonts w:eastAsia="Times New Roman"/>
          <w:lang w:val="en-US"/>
        </w:rPr>
      </w:pPr>
      <w:bookmarkStart w:id="18" w:name="_Toc396767010"/>
      <w:r w:rsidRPr="000D4B17">
        <w:rPr>
          <w:rFonts w:eastAsia="Times New Roman"/>
          <w:lang w:val="en-US"/>
        </w:rPr>
        <w:t>Selection of studies</w:t>
      </w:r>
      <w:bookmarkEnd w:id="18"/>
    </w:p>
    <w:p w14:paraId="22E26679" w14:textId="79A06611" w:rsidR="00B22921" w:rsidRPr="000D4B17" w:rsidRDefault="00B22921" w:rsidP="00AF6E96">
      <w:pPr>
        <w:rPr>
          <w:rFonts w:ascii="Calibri" w:eastAsia="Calibri" w:hAnsi="Calibri" w:cs="Calibri"/>
        </w:rPr>
      </w:pPr>
      <w:r w:rsidRPr="000D4B17">
        <w:rPr>
          <w:rFonts w:ascii="Calibri" w:eastAsia="Calibri" w:hAnsi="Calibri" w:cs="Calibri"/>
        </w:rPr>
        <w:t>To minimize the risk of loss of relevant papers, the search for studies adopted a low threshold search strategy and was carried out in five phases (</w:t>
      </w:r>
      <w:r w:rsidR="006A4625">
        <w:rPr>
          <w:rFonts w:ascii="Calibri" w:eastAsia="Calibri" w:hAnsi="Calibri" w:cs="Calibri"/>
        </w:rPr>
        <w:t xml:space="preserve">Figure </w:t>
      </w:r>
      <w:r w:rsidRPr="000D4B17">
        <w:rPr>
          <w:rFonts w:ascii="Calibri" w:eastAsia="Calibri" w:hAnsi="Calibri" w:cs="Calibri"/>
        </w:rPr>
        <w:t xml:space="preserve">2). A thorough database and </w:t>
      </w:r>
      <w:proofErr w:type="gramStart"/>
      <w:r w:rsidRPr="000D4B17">
        <w:rPr>
          <w:rFonts w:ascii="Calibri" w:eastAsia="Calibri" w:hAnsi="Calibri" w:cs="Calibri"/>
        </w:rPr>
        <w:t>other</w:t>
      </w:r>
      <w:proofErr w:type="gramEnd"/>
      <w:r w:rsidRPr="000D4B17">
        <w:rPr>
          <w:rFonts w:ascii="Calibri" w:eastAsia="Calibri" w:hAnsi="Calibri" w:cs="Calibri"/>
        </w:rPr>
        <w:t xml:space="preserve"> sources search was carried out in phase 1. The titles and, when available, abstracts were reviewed (Phase 2). When the titles and/or the abstracts seemed relevant and there were insufficient reasons for exclusion, the whole paper was retrieved after the duplicates were removed (Phase 3 and 4). The studies that met the inclusion criteria and none of the exclusion criteria were examined (Phase 5). This process was performed by two reviewers</w:t>
      </w:r>
      <w:r w:rsidR="00DE21E6">
        <w:rPr>
          <w:rFonts w:ascii="Calibri" w:eastAsia="Calibri" w:hAnsi="Calibri" w:cs="Calibri"/>
        </w:rPr>
        <w:t>.</w:t>
      </w:r>
      <w:r w:rsidRPr="000D4B17">
        <w:rPr>
          <w:rFonts w:ascii="Calibri" w:eastAsia="Calibri" w:hAnsi="Calibri" w:cs="Calibri"/>
        </w:rPr>
        <w:t xml:space="preserve"> </w:t>
      </w:r>
      <w:r w:rsidR="00DE21E6">
        <w:rPr>
          <w:rFonts w:ascii="Calibri" w:eastAsia="Calibri" w:hAnsi="Calibri" w:cs="Calibri"/>
        </w:rPr>
        <w:t>No</w:t>
      </w:r>
      <w:r w:rsidR="00DE21E6" w:rsidRPr="000D4B17">
        <w:rPr>
          <w:rFonts w:ascii="Calibri" w:eastAsia="Calibri" w:hAnsi="Calibri" w:cs="Calibri"/>
        </w:rPr>
        <w:t xml:space="preserve"> </w:t>
      </w:r>
      <w:r w:rsidRPr="000D4B17">
        <w:rPr>
          <w:rFonts w:ascii="Calibri" w:eastAsia="Calibri" w:hAnsi="Calibri" w:cs="Calibri"/>
        </w:rPr>
        <w:t xml:space="preserve">conflict </w:t>
      </w:r>
      <w:r w:rsidR="00DE21E6">
        <w:rPr>
          <w:rFonts w:ascii="Calibri" w:eastAsia="Calibri" w:hAnsi="Calibri" w:cs="Calibri"/>
        </w:rPr>
        <w:t>has risen during this review process and involvement of the senior author was not required.</w:t>
      </w:r>
    </w:p>
    <w:p w14:paraId="6281F63D" w14:textId="77777777" w:rsidR="00B22921" w:rsidRPr="000D4B17" w:rsidRDefault="00B22921" w:rsidP="00AF6E96">
      <w:pPr>
        <w:rPr>
          <w:rFonts w:eastAsia="Times New Roman"/>
          <w:lang w:val="en-US"/>
        </w:rPr>
      </w:pPr>
      <w:bookmarkStart w:id="19" w:name="_Toc396767011"/>
      <w:r w:rsidRPr="000D4B17">
        <w:rPr>
          <w:rFonts w:eastAsia="Times New Roman"/>
          <w:lang w:val="en-US"/>
        </w:rPr>
        <w:t>Assessment of quality of included studies</w:t>
      </w:r>
      <w:bookmarkEnd w:id="19"/>
    </w:p>
    <w:p w14:paraId="0C93E496" w14:textId="41D90AA9" w:rsidR="00B22921" w:rsidRPr="000D4B17" w:rsidRDefault="00B22921" w:rsidP="00AF6E96">
      <w:pPr>
        <w:rPr>
          <w:rFonts w:ascii="Calibri" w:eastAsia="Calibri" w:hAnsi="Calibri" w:cs="Calibri"/>
        </w:rPr>
      </w:pPr>
      <w:r w:rsidRPr="000D4B17">
        <w:rPr>
          <w:rFonts w:ascii="Calibri" w:eastAsia="Calibri" w:hAnsi="Calibri" w:cs="Calibri"/>
        </w:rPr>
        <w:t xml:space="preserve">The assessment tool </w:t>
      </w:r>
      <w:r w:rsidR="00DE21E6" w:rsidRPr="000D4B17">
        <w:rPr>
          <w:rFonts w:ascii="Calibri" w:eastAsia="Calibri" w:hAnsi="Calibri" w:cs="Calibri"/>
        </w:rPr>
        <w:t xml:space="preserve">used in this systematic review for assessing risk of bias </w:t>
      </w:r>
      <w:r w:rsidRPr="000D4B17">
        <w:rPr>
          <w:rFonts w:ascii="Calibri" w:eastAsia="Calibri" w:hAnsi="Calibri" w:cs="Calibri"/>
        </w:rPr>
        <w:t>is based on criteria for judging risk of bias as described in and recommended by Cochrane’s Handbook for Systematic Reviews of Interventions. This type of assessment is domain-based evaluation and was developed between 2005 and 2007 by a working group of editors, review authors and methodologists (</w:t>
      </w:r>
      <w:r w:rsidR="0031240F">
        <w:rPr>
          <w:rFonts w:ascii="Calibri" w:eastAsia="Calibri" w:hAnsi="Calibri" w:cs="Calibri"/>
        </w:rPr>
        <w:t>20</w:t>
      </w:r>
      <w:r w:rsidRPr="000D4B17">
        <w:rPr>
          <w:rFonts w:ascii="Calibri" w:eastAsia="Calibri" w:hAnsi="Calibri" w:cs="Calibri"/>
        </w:rPr>
        <w:t>). It is composed of seven domains, each of which has a set of criteria for a judgement of ‘low risk’, ‘high risk’ or ‘unclear risk’ of bias</w:t>
      </w:r>
      <w:r w:rsidR="00DE21E6">
        <w:rPr>
          <w:rFonts w:ascii="Calibri" w:eastAsia="Calibri" w:hAnsi="Calibri" w:cs="Calibri"/>
        </w:rPr>
        <w:t>.</w:t>
      </w:r>
      <w:r w:rsidRPr="000D4B17">
        <w:rPr>
          <w:rFonts w:ascii="Calibri" w:eastAsia="Calibri" w:hAnsi="Calibri" w:cs="Calibri"/>
        </w:rPr>
        <w:t xml:space="preserve"> </w:t>
      </w:r>
    </w:p>
    <w:p w14:paraId="20B507AA" w14:textId="506C7EF1" w:rsidR="00B22921" w:rsidRPr="000D4B17" w:rsidRDefault="00B22921" w:rsidP="00AF6E96">
      <w:pPr>
        <w:rPr>
          <w:rFonts w:ascii="Calibri" w:eastAsia="Calibri" w:hAnsi="Calibri" w:cs="Calibri"/>
        </w:rPr>
      </w:pPr>
      <w:r w:rsidRPr="000D4B17">
        <w:rPr>
          <w:rFonts w:ascii="Calibri" w:eastAsia="Calibri" w:hAnsi="Calibri" w:cs="Calibri"/>
        </w:rPr>
        <w:lastRenderedPageBreak/>
        <w:t>Assessment of quality of included studies was conducted by two reviewers. An expert professor and orthopaedic consultant experienced in the subject worked as supervisor and a clinical librarian was sought for a second literature search. The review team approach was to minimise risk of selection bias or missing potentially included studies.</w:t>
      </w:r>
    </w:p>
    <w:p w14:paraId="5BF3CEEF" w14:textId="77777777" w:rsidR="00B22921" w:rsidRPr="000D4B17" w:rsidRDefault="00B22921" w:rsidP="00AF6E96">
      <w:pPr>
        <w:rPr>
          <w:rFonts w:eastAsia="Times New Roman"/>
          <w:lang w:val="en-US"/>
        </w:rPr>
      </w:pPr>
      <w:bookmarkStart w:id="20" w:name="_Toc396767012"/>
      <w:r w:rsidRPr="000D4B17">
        <w:rPr>
          <w:rFonts w:eastAsia="Times New Roman"/>
          <w:lang w:val="en-US"/>
        </w:rPr>
        <w:t>Data extraction</w:t>
      </w:r>
      <w:bookmarkEnd w:id="20"/>
      <w:r w:rsidRPr="000D4B17">
        <w:rPr>
          <w:rFonts w:eastAsia="Times New Roman"/>
          <w:lang w:val="en-US"/>
        </w:rPr>
        <w:t xml:space="preserve"> </w:t>
      </w:r>
    </w:p>
    <w:p w14:paraId="3356A049" w14:textId="3491A3E4" w:rsidR="00B22921" w:rsidRPr="000D4B17" w:rsidRDefault="00B22921" w:rsidP="00AF6E96">
      <w:pPr>
        <w:rPr>
          <w:rFonts w:ascii="Calibri" w:eastAsia="Calibri" w:hAnsi="Calibri" w:cs="Calibri"/>
        </w:rPr>
      </w:pPr>
      <w:r w:rsidRPr="000D4B17">
        <w:rPr>
          <w:rFonts w:ascii="Calibri" w:eastAsia="Calibri" w:hAnsi="Calibri" w:cs="Calibri"/>
        </w:rPr>
        <w:t>Data from each included study were extracted into two separate data collection forms that were filled separately by</w:t>
      </w:r>
      <w:r w:rsidR="0005312C">
        <w:rPr>
          <w:rFonts w:ascii="Calibri" w:eastAsia="Calibri" w:hAnsi="Calibri" w:cs="Calibri"/>
        </w:rPr>
        <w:t xml:space="preserve"> the</w:t>
      </w:r>
      <w:r w:rsidRPr="000D4B17">
        <w:rPr>
          <w:rFonts w:ascii="Calibri" w:eastAsia="Calibri" w:hAnsi="Calibri" w:cs="Calibri"/>
        </w:rPr>
        <w:t xml:space="preserve"> two reviewers. These forms were </w:t>
      </w:r>
      <w:proofErr w:type="gramStart"/>
      <w:r w:rsidRPr="000D4B17">
        <w:rPr>
          <w:rFonts w:ascii="Calibri" w:eastAsia="Calibri" w:hAnsi="Calibri" w:cs="Calibri"/>
        </w:rPr>
        <w:t>compared</w:t>
      </w:r>
      <w:proofErr w:type="gramEnd"/>
      <w:r w:rsidRPr="000D4B17">
        <w:rPr>
          <w:rFonts w:ascii="Calibri" w:eastAsia="Calibri" w:hAnsi="Calibri" w:cs="Calibri"/>
        </w:rPr>
        <w:t xml:space="preserve"> and no conflict was found between them.</w:t>
      </w:r>
    </w:p>
    <w:p w14:paraId="1D4FD4DB" w14:textId="77777777" w:rsidR="00B22921" w:rsidRPr="000D4B17" w:rsidRDefault="00B22921" w:rsidP="00AF6E96">
      <w:pPr>
        <w:rPr>
          <w:rFonts w:ascii="Calibri" w:eastAsia="Calibri" w:hAnsi="Calibri" w:cs="Calibri"/>
        </w:rPr>
      </w:pPr>
      <w:r w:rsidRPr="000D4B17">
        <w:rPr>
          <w:rFonts w:ascii="Calibri" w:eastAsia="Calibri" w:hAnsi="Calibri" w:cs="Calibri"/>
        </w:rPr>
        <w:t xml:space="preserve">Data was collected from the full text of trials. </w:t>
      </w:r>
    </w:p>
    <w:p w14:paraId="1AA5A236" w14:textId="77777777" w:rsidR="00B22921" w:rsidRPr="000D4B17" w:rsidRDefault="00B22921" w:rsidP="00AF6E96">
      <w:pPr>
        <w:rPr>
          <w:rFonts w:eastAsia="Times New Roman"/>
          <w:lang w:val="en-US"/>
        </w:rPr>
      </w:pPr>
      <w:bookmarkStart w:id="21" w:name="_Toc396767013"/>
      <w:r w:rsidRPr="000D4B17">
        <w:rPr>
          <w:rFonts w:eastAsia="Times New Roman"/>
          <w:lang w:val="en-US"/>
        </w:rPr>
        <w:t>Data analysis</w:t>
      </w:r>
      <w:bookmarkEnd w:id="21"/>
    </w:p>
    <w:p w14:paraId="1F1AC535" w14:textId="7BCF3F46" w:rsidR="00B22921" w:rsidRPr="000D4B17" w:rsidRDefault="00B22921" w:rsidP="00AF6E96">
      <w:pPr>
        <w:rPr>
          <w:rFonts w:ascii="Calibri" w:eastAsia="Calibri" w:hAnsi="Calibri" w:cs="Calibri"/>
        </w:rPr>
      </w:pPr>
      <w:r w:rsidRPr="000D4B17">
        <w:rPr>
          <w:rFonts w:ascii="Calibri" w:eastAsia="Calibri" w:hAnsi="Calibri" w:cs="Calibri"/>
        </w:rPr>
        <w:t xml:space="preserve">The intention of the protocol of this review was to perform meta-analysis for the quantitative data and meta-synthesis for the qualitative data if the included studies proved to have heterogeneity and statistical tests were to be conducted by an independent statistician. However, a meta-analysis and/or meta-synthesis were not possible due to lack of heterogeneity and, as per the protocol, we presented the result in narrative form. </w:t>
      </w:r>
    </w:p>
    <w:p w14:paraId="2C567A08" w14:textId="77777777" w:rsidR="00B22921" w:rsidRPr="000D4B17" w:rsidRDefault="00B22921" w:rsidP="00AF6E96">
      <w:pPr>
        <w:rPr>
          <w:rFonts w:eastAsia="Times New Roman"/>
          <w:lang w:val="en-US"/>
        </w:rPr>
      </w:pPr>
      <w:bookmarkStart w:id="22" w:name="_Toc396767014"/>
      <w:r w:rsidRPr="000D4B17">
        <w:rPr>
          <w:rFonts w:eastAsia="Times New Roman"/>
          <w:lang w:val="en-US"/>
        </w:rPr>
        <w:t>Data presentation</w:t>
      </w:r>
      <w:bookmarkEnd w:id="22"/>
    </w:p>
    <w:p w14:paraId="0C943EE7" w14:textId="77777777" w:rsidR="00B22921" w:rsidRPr="000D4B17" w:rsidRDefault="00B22921" w:rsidP="00AF6E96">
      <w:pPr>
        <w:rPr>
          <w:rFonts w:ascii="Calibri" w:eastAsia="Calibri" w:hAnsi="Calibri" w:cs="Calibri"/>
        </w:rPr>
      </w:pPr>
      <w:r w:rsidRPr="000D4B17">
        <w:rPr>
          <w:rFonts w:ascii="Calibri" w:eastAsia="Calibri" w:hAnsi="Calibri" w:cs="Calibri"/>
        </w:rPr>
        <w:t>Treatment effect of quantitative data for the outcomes in the inclusion criteria presented using mean differences with 95% confidence intervals (95% CI) for continuous outcomes, and relative risks with 95% confidence intervals (95% CI) for dichotomous outcomes when available and applicable.</w:t>
      </w:r>
    </w:p>
    <w:p w14:paraId="2E3DEE06" w14:textId="77777777" w:rsidR="00B22921" w:rsidRPr="000D4B17" w:rsidRDefault="00B22921" w:rsidP="00AF6E96">
      <w:pPr>
        <w:rPr>
          <w:rFonts w:eastAsia="Times New Roman"/>
          <w:lang w:val="en-US"/>
        </w:rPr>
      </w:pPr>
      <w:bookmarkStart w:id="23" w:name="_Toc396767015"/>
      <w:r w:rsidRPr="000D4B17">
        <w:rPr>
          <w:rFonts w:eastAsia="Times New Roman"/>
          <w:lang w:val="en-US"/>
        </w:rPr>
        <w:t>Reporting of the systematic review</w:t>
      </w:r>
      <w:bookmarkEnd w:id="23"/>
    </w:p>
    <w:p w14:paraId="18E1284F" w14:textId="3F6AC768" w:rsidR="00B22921" w:rsidRPr="000D4B17" w:rsidRDefault="00B22921" w:rsidP="00AF6E96">
      <w:pPr>
        <w:rPr>
          <w:rFonts w:ascii="Calibri" w:eastAsia="Calibri" w:hAnsi="Calibri" w:cs="Calibri"/>
        </w:rPr>
      </w:pPr>
      <w:r w:rsidRPr="000D4B17">
        <w:rPr>
          <w:rFonts w:ascii="Calibri" w:eastAsia="Calibri" w:hAnsi="Calibri" w:cs="Calibri"/>
        </w:rPr>
        <w:t>For optimal reporting, the systematic review followed the guide of the Preferred Reporting Items for Systematic reviews and Meta-Analyses (PRISMA) statement and checklist, developed to address several conceptual and practical advances in the science of systematic reviews and to help authors improve the reporting of systematic reviews and meta-analyses (</w:t>
      </w:r>
      <w:r w:rsidR="0031240F">
        <w:rPr>
          <w:rFonts w:ascii="Calibri" w:eastAsia="Calibri" w:hAnsi="Calibri" w:cs="Calibri"/>
        </w:rPr>
        <w:t>21</w:t>
      </w:r>
      <w:r w:rsidRPr="000D4B17">
        <w:rPr>
          <w:rFonts w:ascii="Calibri" w:eastAsia="Calibri" w:hAnsi="Calibri" w:cs="Calibri"/>
        </w:rPr>
        <w:t>).</w:t>
      </w:r>
      <w:r w:rsidRPr="000D4B17">
        <w:rPr>
          <w:rFonts w:ascii="Calibri" w:eastAsia="Calibri" w:hAnsi="Calibri" w:cs="Arial"/>
        </w:rPr>
        <w:t xml:space="preserve"> </w:t>
      </w:r>
    </w:p>
    <w:p w14:paraId="04D2CFC2" w14:textId="50B78CB9" w:rsidR="00B22921" w:rsidRPr="0005312C" w:rsidRDefault="00B22921" w:rsidP="00AF6E96">
      <w:pPr>
        <w:rPr>
          <w:b/>
          <w:bCs/>
          <w:lang w:val="en-US"/>
        </w:rPr>
      </w:pPr>
      <w:bookmarkStart w:id="24" w:name="_Toc396767018"/>
      <w:r w:rsidRPr="0005312C">
        <w:rPr>
          <w:b/>
          <w:bCs/>
          <w:lang w:val="en-US"/>
        </w:rPr>
        <w:t>Results</w:t>
      </w:r>
      <w:bookmarkEnd w:id="24"/>
      <w:r w:rsidRPr="0005312C">
        <w:rPr>
          <w:b/>
          <w:bCs/>
          <w:lang w:val="en-US"/>
        </w:rPr>
        <w:t xml:space="preserve"> </w:t>
      </w:r>
    </w:p>
    <w:p w14:paraId="26790278" w14:textId="77777777" w:rsidR="00B22921" w:rsidRPr="000D4B17" w:rsidRDefault="00B22921" w:rsidP="00AF6E96">
      <w:pPr>
        <w:rPr>
          <w:rFonts w:eastAsia="Times New Roman"/>
          <w:lang w:val="en-US"/>
        </w:rPr>
      </w:pPr>
      <w:bookmarkStart w:id="25" w:name="_Toc396767019"/>
      <w:r w:rsidRPr="000D4B17">
        <w:rPr>
          <w:rFonts w:eastAsia="Times New Roman"/>
          <w:lang w:val="en-US"/>
        </w:rPr>
        <w:t>Literature search and selection of studies</w:t>
      </w:r>
      <w:bookmarkEnd w:id="25"/>
      <w:r w:rsidRPr="000D4B17">
        <w:rPr>
          <w:rFonts w:eastAsia="Times New Roman"/>
          <w:lang w:val="en-US"/>
        </w:rPr>
        <w:t xml:space="preserve"> </w:t>
      </w:r>
    </w:p>
    <w:p w14:paraId="0B6089E4" w14:textId="77777777" w:rsidR="00B22921" w:rsidRPr="000D4B17" w:rsidRDefault="00B22921" w:rsidP="00AF6E96">
      <w:pPr>
        <w:rPr>
          <w:rFonts w:eastAsia="Times New Roman"/>
          <w:lang w:val="en-US"/>
        </w:rPr>
      </w:pPr>
      <w:bookmarkStart w:id="26" w:name="_Toc396767020"/>
      <w:r w:rsidRPr="000D4B17">
        <w:rPr>
          <w:rFonts w:eastAsia="Times New Roman"/>
          <w:lang w:val="en-US"/>
        </w:rPr>
        <w:t>Literature search</w:t>
      </w:r>
      <w:bookmarkEnd w:id="26"/>
    </w:p>
    <w:p w14:paraId="1196B092" w14:textId="4CE8FC7F" w:rsidR="00B22921" w:rsidRPr="000D4B17" w:rsidRDefault="00B22921" w:rsidP="00AF6E96">
      <w:pPr>
        <w:rPr>
          <w:rFonts w:ascii="Calibri" w:eastAsia="Calibri" w:hAnsi="Calibri" w:cs="Calibri"/>
        </w:rPr>
      </w:pPr>
      <w:r w:rsidRPr="000D4B17">
        <w:rPr>
          <w:rFonts w:ascii="Calibri" w:eastAsia="Calibri" w:hAnsi="Calibri" w:cs="Calibri"/>
        </w:rPr>
        <w:t>A total</w:t>
      </w:r>
      <w:r>
        <w:rPr>
          <w:rFonts w:ascii="Calibri" w:eastAsia="Calibri" w:hAnsi="Calibri" w:cs="Calibri"/>
        </w:rPr>
        <w:t xml:space="preserve"> </w:t>
      </w:r>
      <w:r w:rsidRPr="000D4B17">
        <w:rPr>
          <w:rFonts w:ascii="Calibri" w:eastAsia="Calibri" w:hAnsi="Calibri" w:cs="Calibri"/>
        </w:rPr>
        <w:t>of 254 titles were identified in database search,</w:t>
      </w:r>
      <w:r>
        <w:rPr>
          <w:rFonts w:ascii="Calibri" w:eastAsia="Calibri" w:hAnsi="Calibri" w:cs="Calibri"/>
        </w:rPr>
        <w:t xml:space="preserve"> </w:t>
      </w:r>
      <w:r w:rsidRPr="000D4B17">
        <w:rPr>
          <w:rFonts w:ascii="Calibri" w:eastAsia="Calibri" w:hAnsi="Calibri" w:cs="Calibri"/>
        </w:rPr>
        <w:t xml:space="preserve">as presented in Table </w:t>
      </w:r>
      <w:r w:rsidR="00DE21E6">
        <w:rPr>
          <w:rFonts w:ascii="Calibri" w:eastAsia="Calibri" w:hAnsi="Calibri" w:cs="Calibri"/>
        </w:rPr>
        <w:t>1</w:t>
      </w:r>
      <w:r w:rsidRPr="000D4B17">
        <w:rPr>
          <w:rFonts w:ascii="Calibri" w:eastAsia="Calibri" w:hAnsi="Calibri" w:cs="Calibri"/>
        </w:rPr>
        <w:t>. A second search by a clinical librarian did not add more identified titles.</w:t>
      </w:r>
    </w:p>
    <w:p w14:paraId="5D00821E" w14:textId="77777777" w:rsidR="00B22921" w:rsidRPr="000D4B17" w:rsidRDefault="00B22921" w:rsidP="00AF6E96">
      <w:pPr>
        <w:rPr>
          <w:rFonts w:ascii="Calibri" w:eastAsia="Calibri" w:hAnsi="Calibri" w:cs="Calibri"/>
        </w:rPr>
      </w:pPr>
      <w:r w:rsidRPr="000D4B17">
        <w:rPr>
          <w:rFonts w:ascii="Calibri" w:eastAsia="Calibri" w:hAnsi="Calibri" w:cs="Calibri"/>
        </w:rPr>
        <w:t>After reviewing titles and, when available, abstracts, and removal of duplicates, 243 papers were excluded as there was clear reason for exclusion (e.g. irrelevant studies, reviews, retrospective studies, case reports, letters and surveys). When the abstract was not available or there was not clear reason for exclusion from the title or abstract, the study was retrieved for full text review. The two reviewers agreed to exclude seven</w:t>
      </w:r>
      <w:r>
        <w:rPr>
          <w:rFonts w:ascii="Calibri" w:eastAsia="Calibri" w:hAnsi="Calibri" w:cs="Calibri"/>
        </w:rPr>
        <w:t xml:space="preserve"> </w:t>
      </w:r>
      <w:r w:rsidRPr="000D4B17">
        <w:rPr>
          <w:rFonts w:ascii="Calibri" w:eastAsia="Calibri" w:hAnsi="Calibri" w:cs="Calibri"/>
        </w:rPr>
        <w:t>papers for the following reasons:</w:t>
      </w:r>
    </w:p>
    <w:p w14:paraId="778C91C3" w14:textId="3B4BD6E9" w:rsidR="00B22921" w:rsidRPr="0031240F" w:rsidRDefault="00B22921" w:rsidP="0031240F">
      <w:pPr>
        <w:pStyle w:val="ListParagraph"/>
        <w:numPr>
          <w:ilvl w:val="0"/>
          <w:numId w:val="35"/>
        </w:numPr>
        <w:rPr>
          <w:rFonts w:ascii="Calibri" w:eastAsia="Calibri" w:hAnsi="Calibri" w:cs="Calibri"/>
        </w:rPr>
      </w:pPr>
      <w:r w:rsidRPr="0031240F">
        <w:rPr>
          <w:rFonts w:ascii="Calibri" w:eastAsia="Calibri" w:hAnsi="Calibri" w:cs="Calibri"/>
        </w:rPr>
        <w:t>Short review, comment, opinion or letter (</w:t>
      </w:r>
      <w:r w:rsidR="0031240F" w:rsidRPr="0031240F">
        <w:rPr>
          <w:rFonts w:ascii="Calibri" w:eastAsia="Calibri" w:hAnsi="Calibri" w:cs="Calibri"/>
        </w:rPr>
        <w:t>22-25</w:t>
      </w:r>
      <w:r w:rsidRPr="0031240F">
        <w:rPr>
          <w:rFonts w:ascii="Calibri" w:eastAsia="Calibri" w:hAnsi="Calibri" w:cs="Calibri"/>
        </w:rPr>
        <w:t>)</w:t>
      </w:r>
      <w:r w:rsidR="0031240F" w:rsidRPr="0031240F">
        <w:rPr>
          <w:rFonts w:ascii="Calibri" w:eastAsia="Calibri" w:hAnsi="Calibri" w:cs="Calibri"/>
        </w:rPr>
        <w:t>.</w:t>
      </w:r>
      <w:r w:rsidRPr="0031240F">
        <w:rPr>
          <w:rFonts w:ascii="Calibri" w:eastAsia="Calibri" w:hAnsi="Calibri" w:cs="Calibri"/>
        </w:rPr>
        <w:t xml:space="preserve"> </w:t>
      </w:r>
    </w:p>
    <w:p w14:paraId="66C0D003" w14:textId="6529E1B1" w:rsidR="00B22921" w:rsidRPr="0031240F" w:rsidRDefault="00B22921" w:rsidP="0031240F">
      <w:pPr>
        <w:pStyle w:val="ListParagraph"/>
        <w:numPr>
          <w:ilvl w:val="0"/>
          <w:numId w:val="35"/>
        </w:numPr>
        <w:rPr>
          <w:rFonts w:ascii="Calibri" w:eastAsia="Calibri" w:hAnsi="Calibri" w:cs="Calibri"/>
        </w:rPr>
      </w:pPr>
      <w:r w:rsidRPr="0031240F">
        <w:rPr>
          <w:rFonts w:ascii="Calibri" w:eastAsia="Calibri" w:hAnsi="Calibri" w:cs="Calibri"/>
        </w:rPr>
        <w:lastRenderedPageBreak/>
        <w:t>Compared cast and continuous use of bandage and did not fit the inclusion criteria of this review (</w:t>
      </w:r>
      <w:r w:rsidR="00B74251" w:rsidRPr="0031240F">
        <w:rPr>
          <w:rFonts w:ascii="Calibri" w:eastAsia="Calibri" w:hAnsi="Calibri" w:cs="Calibri"/>
        </w:rPr>
        <w:t>13</w:t>
      </w:r>
      <w:r w:rsidRPr="0031240F">
        <w:rPr>
          <w:rFonts w:ascii="Calibri" w:eastAsia="Calibri" w:hAnsi="Calibri" w:cs="Calibri"/>
        </w:rPr>
        <w:t>).</w:t>
      </w:r>
    </w:p>
    <w:p w14:paraId="0DF8EBC5" w14:textId="16C31F89" w:rsidR="00B22921" w:rsidRPr="0031240F" w:rsidRDefault="00B22921" w:rsidP="0031240F">
      <w:pPr>
        <w:pStyle w:val="ListParagraph"/>
        <w:numPr>
          <w:ilvl w:val="0"/>
          <w:numId w:val="35"/>
        </w:numPr>
        <w:rPr>
          <w:rFonts w:ascii="Calibri" w:eastAsia="Calibri" w:hAnsi="Calibri" w:cs="Calibri"/>
        </w:rPr>
      </w:pPr>
      <w:r w:rsidRPr="0031240F">
        <w:rPr>
          <w:rFonts w:ascii="Calibri" w:eastAsia="Calibri" w:hAnsi="Calibri" w:cs="Calibri"/>
        </w:rPr>
        <w:t>Retrospective comparative study (</w:t>
      </w:r>
      <w:r w:rsidR="00B74251" w:rsidRPr="0031240F">
        <w:rPr>
          <w:rFonts w:ascii="Calibri" w:eastAsia="Calibri" w:hAnsi="Calibri" w:cs="Calibri"/>
        </w:rPr>
        <w:t>12</w:t>
      </w:r>
      <w:r w:rsidRPr="0031240F">
        <w:rPr>
          <w:rFonts w:ascii="Calibri" w:eastAsia="Calibri" w:hAnsi="Calibri" w:cs="Calibri"/>
        </w:rPr>
        <w:t>).</w:t>
      </w:r>
    </w:p>
    <w:p w14:paraId="21798E87" w14:textId="6831EDCC" w:rsidR="00B22921" w:rsidRPr="0031240F" w:rsidRDefault="00B22921" w:rsidP="0031240F">
      <w:pPr>
        <w:pStyle w:val="ListParagraph"/>
        <w:numPr>
          <w:ilvl w:val="0"/>
          <w:numId w:val="35"/>
        </w:numPr>
        <w:rPr>
          <w:rFonts w:ascii="Calibri" w:eastAsia="Calibri" w:hAnsi="Calibri" w:cs="Calibri"/>
        </w:rPr>
      </w:pPr>
      <w:r w:rsidRPr="0031240F">
        <w:rPr>
          <w:rFonts w:ascii="Calibri" w:eastAsia="Calibri" w:hAnsi="Calibri" w:cs="Calibri"/>
        </w:rPr>
        <w:t>Review article (</w:t>
      </w:r>
      <w:r w:rsidR="0031240F">
        <w:rPr>
          <w:rFonts w:ascii="Calibri" w:eastAsia="Calibri" w:hAnsi="Calibri" w:cs="Calibri"/>
        </w:rPr>
        <w:t>26</w:t>
      </w:r>
      <w:r w:rsidRPr="0031240F">
        <w:rPr>
          <w:rFonts w:ascii="Calibri" w:eastAsia="Calibri" w:hAnsi="Calibri" w:cs="Calibri"/>
        </w:rPr>
        <w:t xml:space="preserve">). </w:t>
      </w:r>
    </w:p>
    <w:p w14:paraId="4F5DA017" w14:textId="5ECF687F" w:rsidR="00B22921" w:rsidRPr="000D4B17" w:rsidRDefault="00B22921" w:rsidP="00AF6E96">
      <w:pPr>
        <w:rPr>
          <w:rFonts w:ascii="Calibri" w:eastAsia="Calibri" w:hAnsi="Calibri" w:cs="Calibri"/>
        </w:rPr>
      </w:pPr>
      <w:r w:rsidRPr="000D4B17">
        <w:rPr>
          <w:rFonts w:ascii="Calibri" w:eastAsia="Calibri" w:hAnsi="Calibri" w:cs="Calibri"/>
        </w:rPr>
        <w:t>A conference proceeding was identified for potential inclusion (</w:t>
      </w:r>
      <w:r w:rsidR="005D472B">
        <w:rPr>
          <w:rFonts w:ascii="Calibri" w:eastAsia="Calibri" w:hAnsi="Calibri" w:cs="Calibri"/>
        </w:rPr>
        <w:t>27</w:t>
      </w:r>
      <w:r w:rsidRPr="000D4B17">
        <w:rPr>
          <w:rFonts w:ascii="Calibri" w:eastAsia="Calibri" w:hAnsi="Calibri" w:cs="Calibri"/>
        </w:rPr>
        <w:t>), but the author and conference organiser were contacted for more information with no reply. Manual search for the full study did not return any results and it is likely that it has not been published. No further titles were identified from handsearch or other sources search.</w:t>
      </w:r>
    </w:p>
    <w:p w14:paraId="55D38465" w14:textId="690E8200" w:rsidR="00B22921" w:rsidRPr="000D4B17" w:rsidRDefault="00B22921" w:rsidP="00AF6E96">
      <w:pPr>
        <w:rPr>
          <w:rFonts w:ascii="Calibri" w:eastAsia="Calibri" w:hAnsi="Calibri" w:cs="Calibri"/>
        </w:rPr>
      </w:pPr>
      <w:r w:rsidRPr="000D4B17">
        <w:rPr>
          <w:rFonts w:ascii="Calibri" w:eastAsia="Calibri" w:hAnsi="Calibri" w:cs="Calibri"/>
        </w:rPr>
        <w:t>There was disagreement between the two reviewers on the remaining four papers (</w:t>
      </w:r>
      <w:r w:rsidR="00A87A41">
        <w:rPr>
          <w:rFonts w:ascii="Calibri" w:eastAsia="Calibri" w:hAnsi="Calibri" w:cs="Calibri"/>
        </w:rPr>
        <w:t>6,</w:t>
      </w:r>
      <w:r w:rsidR="00D70A6F">
        <w:rPr>
          <w:rFonts w:ascii="Calibri" w:eastAsia="Calibri" w:hAnsi="Calibri" w:cs="Calibri"/>
        </w:rPr>
        <w:t>7</w:t>
      </w:r>
      <w:r w:rsidR="00A87A41">
        <w:rPr>
          <w:rFonts w:ascii="Calibri" w:eastAsia="Calibri" w:hAnsi="Calibri" w:cs="Calibri"/>
        </w:rPr>
        <w:t>,</w:t>
      </w:r>
      <w:r w:rsidR="005D472B">
        <w:rPr>
          <w:rFonts w:ascii="Calibri" w:eastAsia="Calibri" w:hAnsi="Calibri" w:cs="Calibri"/>
        </w:rPr>
        <w:t>28</w:t>
      </w:r>
      <w:r w:rsidR="00A87A41">
        <w:rPr>
          <w:rFonts w:ascii="Calibri" w:eastAsia="Calibri" w:hAnsi="Calibri" w:cs="Calibri"/>
        </w:rPr>
        <w:t>,</w:t>
      </w:r>
      <w:r w:rsidR="005D472B">
        <w:rPr>
          <w:rFonts w:ascii="Calibri" w:eastAsia="Calibri" w:hAnsi="Calibri" w:cs="Calibri"/>
        </w:rPr>
        <w:t>29</w:t>
      </w:r>
      <w:r w:rsidRPr="000D4B17">
        <w:rPr>
          <w:rFonts w:ascii="Calibri" w:eastAsia="Calibri" w:hAnsi="Calibri" w:cs="Calibri"/>
        </w:rPr>
        <w:t>), but, after discussion, it was agreed</w:t>
      </w:r>
      <w:r>
        <w:rPr>
          <w:rFonts w:ascii="Calibri" w:eastAsia="Calibri" w:hAnsi="Calibri" w:cs="Calibri"/>
        </w:rPr>
        <w:t xml:space="preserve"> </w:t>
      </w:r>
      <w:r w:rsidRPr="000D4B17">
        <w:rPr>
          <w:rFonts w:ascii="Calibri" w:eastAsia="Calibri" w:hAnsi="Calibri" w:cs="Calibri"/>
        </w:rPr>
        <w:t>to apply an appraisal checklist tool on these four papers as potentially included studies. The appraisal checklist tool was adapted from Critical Appraisal Skills Programme (CASP)</w:t>
      </w:r>
      <w:r w:rsidR="00A87A41">
        <w:rPr>
          <w:rFonts w:ascii="Calibri" w:eastAsia="Calibri" w:hAnsi="Calibri" w:cs="Calibri"/>
        </w:rPr>
        <w:t>-</w:t>
      </w:r>
      <w:r w:rsidRPr="000D4B17">
        <w:rPr>
          <w:rFonts w:ascii="Calibri" w:eastAsia="Calibri" w:hAnsi="Calibri" w:cs="Calibri"/>
        </w:rPr>
        <w:t>2013</w:t>
      </w:r>
      <w:r w:rsidR="00A87A41">
        <w:rPr>
          <w:rFonts w:ascii="Calibri" w:eastAsia="Calibri" w:hAnsi="Calibri" w:cs="Calibri"/>
        </w:rPr>
        <w:t xml:space="preserve"> (30)</w:t>
      </w:r>
      <w:r w:rsidR="00AF6E96">
        <w:rPr>
          <w:rFonts w:ascii="Calibri" w:eastAsia="Calibri" w:hAnsi="Calibri" w:cs="Calibri"/>
        </w:rPr>
        <w:t>.</w:t>
      </w:r>
    </w:p>
    <w:p w14:paraId="2E8B0211" w14:textId="18581651" w:rsidR="00B22921" w:rsidRPr="000D4B17" w:rsidRDefault="00AF6E96" w:rsidP="00AF6E96">
      <w:pPr>
        <w:rPr>
          <w:rFonts w:eastAsia="Times New Roman"/>
          <w:lang w:val="en-US"/>
        </w:rPr>
      </w:pPr>
      <w:bookmarkStart w:id="27" w:name="_Toc396767021"/>
      <w:r>
        <w:rPr>
          <w:rFonts w:eastAsia="Times New Roman"/>
        </w:rPr>
        <w:t>Outcome of</w:t>
      </w:r>
      <w:r>
        <w:rPr>
          <w:rFonts w:eastAsia="Times New Roman"/>
          <w:lang w:val="en-US"/>
        </w:rPr>
        <w:t xml:space="preserve"> </w:t>
      </w:r>
      <w:r>
        <w:rPr>
          <w:rFonts w:eastAsia="Times New Roman"/>
        </w:rPr>
        <w:t>appraisal</w:t>
      </w:r>
      <w:r>
        <w:rPr>
          <w:rFonts w:eastAsia="Times New Roman"/>
          <w:lang w:val="en-US"/>
        </w:rPr>
        <w:t xml:space="preserve"> </w:t>
      </w:r>
      <w:r w:rsidR="00B22921" w:rsidRPr="000D4B17">
        <w:rPr>
          <w:rFonts w:eastAsia="Times New Roman"/>
          <w:lang w:val="en-US"/>
        </w:rPr>
        <w:t>of potentially included studies:</w:t>
      </w:r>
      <w:bookmarkEnd w:id="27"/>
    </w:p>
    <w:p w14:paraId="25DB04D1" w14:textId="1EA35934" w:rsidR="00B22921" w:rsidRPr="000D4B17" w:rsidRDefault="00B22921" w:rsidP="00AF6E96">
      <w:pPr>
        <w:rPr>
          <w:rFonts w:ascii="Calibri" w:eastAsia="Calibri" w:hAnsi="Calibri" w:cs="Calibri"/>
        </w:rPr>
      </w:pPr>
      <w:r w:rsidRPr="000D4B17">
        <w:rPr>
          <w:rFonts w:ascii="Calibri" w:eastAsia="Calibri" w:hAnsi="Calibri" w:cs="Calibri"/>
        </w:rPr>
        <w:t xml:space="preserve">A summary of the following studies is presented in Table </w:t>
      </w:r>
      <w:r w:rsidR="00AF6E96">
        <w:rPr>
          <w:rFonts w:ascii="Calibri" w:eastAsia="Calibri" w:hAnsi="Calibri" w:cs="Calibri"/>
        </w:rPr>
        <w:t>2</w:t>
      </w:r>
      <w:r w:rsidRPr="000D4B17">
        <w:rPr>
          <w:rFonts w:ascii="Calibri" w:eastAsia="Calibri" w:hAnsi="Calibri" w:cs="Calibri"/>
        </w:rPr>
        <w:t>:</w:t>
      </w:r>
    </w:p>
    <w:p w14:paraId="5E549A12" w14:textId="29C6E919" w:rsidR="00B22921" w:rsidRPr="000D4B17" w:rsidRDefault="00B22921" w:rsidP="00AF6E96">
      <w:pPr>
        <w:rPr>
          <w:rFonts w:eastAsia="Times New Roman"/>
          <w:lang w:val="en-US"/>
        </w:rPr>
      </w:pPr>
      <w:bookmarkStart w:id="28" w:name="_Toc396767022"/>
      <w:r w:rsidRPr="000D4B17">
        <w:rPr>
          <w:rFonts w:eastAsia="Times New Roman"/>
          <w:lang w:val="en-US"/>
        </w:rPr>
        <w:t>Davidson, et al., 2001</w:t>
      </w:r>
      <w:r w:rsidR="00D70A6F">
        <w:rPr>
          <w:rFonts w:eastAsia="Times New Roman"/>
          <w:lang w:val="en-US"/>
        </w:rPr>
        <w:t xml:space="preserve"> (6)</w:t>
      </w:r>
      <w:r w:rsidRPr="000D4B17">
        <w:rPr>
          <w:rFonts w:eastAsia="Times New Roman"/>
          <w:lang w:val="en-US"/>
        </w:rPr>
        <w:t>:</w:t>
      </w:r>
      <w:bookmarkEnd w:id="28"/>
      <w:r w:rsidRPr="000D4B17">
        <w:rPr>
          <w:rFonts w:eastAsia="Times New Roman"/>
          <w:lang w:val="en-US"/>
        </w:rPr>
        <w:t xml:space="preserve"> </w:t>
      </w:r>
    </w:p>
    <w:p w14:paraId="2CF87C18" w14:textId="77777777" w:rsidR="00B22921" w:rsidRPr="000D4B17" w:rsidRDefault="00B22921" w:rsidP="00AF6E96">
      <w:pPr>
        <w:rPr>
          <w:rFonts w:ascii="Calibri" w:eastAsia="Calibri" w:hAnsi="Calibri" w:cs="Calibri"/>
        </w:rPr>
      </w:pPr>
      <w:r w:rsidRPr="000D4B17">
        <w:rPr>
          <w:rFonts w:ascii="Calibri" w:eastAsia="Calibri" w:hAnsi="Calibri" w:cs="Calibri"/>
        </w:rPr>
        <w:t>The report of the study was very precise and lacked exploration of several critical information for a good randomised controlled trial. The study design and conduct were poor. The study was reported as randomised trial, whereas</w:t>
      </w:r>
      <w:r>
        <w:rPr>
          <w:rFonts w:ascii="Calibri" w:eastAsia="Calibri" w:hAnsi="Calibri" w:cs="Calibri"/>
        </w:rPr>
        <w:t xml:space="preserve"> </w:t>
      </w:r>
      <w:r w:rsidRPr="000D4B17">
        <w:rPr>
          <w:rFonts w:ascii="Calibri" w:eastAsia="Calibri" w:hAnsi="Calibri" w:cs="Calibri"/>
        </w:rPr>
        <w:t>the method of randomisation showed it was quasi-randomised. It is not clear if the randomisation worked. There was no reported inclusion and exclusion criteria,</w:t>
      </w:r>
      <w:r>
        <w:rPr>
          <w:rFonts w:ascii="Calibri" w:eastAsia="Calibri" w:hAnsi="Calibri" w:cs="Calibri"/>
        </w:rPr>
        <w:t xml:space="preserve"> </w:t>
      </w:r>
      <w:r w:rsidRPr="000D4B17">
        <w:rPr>
          <w:rFonts w:ascii="Calibri" w:eastAsia="Calibri" w:hAnsi="Calibri" w:cs="Calibri"/>
        </w:rPr>
        <w:t>the outcome measures were very limited and there was no power calculation or statistical analysis. It is unlikely that the results can be meaningful for</w:t>
      </w:r>
      <w:r>
        <w:rPr>
          <w:rFonts w:ascii="Calibri" w:eastAsia="Calibri" w:hAnsi="Calibri" w:cs="Calibri"/>
        </w:rPr>
        <w:t xml:space="preserve"> </w:t>
      </w:r>
      <w:r w:rsidRPr="000D4B17">
        <w:rPr>
          <w:rFonts w:ascii="Calibri" w:eastAsia="Calibri" w:hAnsi="Calibri" w:cs="Calibri"/>
        </w:rPr>
        <w:t>use in this systematic review. The cost-benefit analysis, however, can be narrated as appropriate.</w:t>
      </w:r>
    </w:p>
    <w:p w14:paraId="53BD7A70" w14:textId="554D9DC8" w:rsidR="00B22921" w:rsidRPr="000D4B17" w:rsidRDefault="00B22921" w:rsidP="00AF6E96">
      <w:pPr>
        <w:rPr>
          <w:rFonts w:eastAsia="Times New Roman"/>
          <w:lang w:val="en-US"/>
        </w:rPr>
      </w:pPr>
      <w:bookmarkStart w:id="29" w:name="_Toc396767023"/>
      <w:r w:rsidRPr="000D4B17">
        <w:rPr>
          <w:rFonts w:eastAsia="Times New Roman"/>
          <w:lang w:val="en-US"/>
        </w:rPr>
        <w:t>Plint, et al., 2006</w:t>
      </w:r>
      <w:r w:rsidR="00D70A6F">
        <w:rPr>
          <w:rFonts w:eastAsia="Times New Roman"/>
          <w:lang w:val="en-US"/>
        </w:rPr>
        <w:t xml:space="preserve"> (7)</w:t>
      </w:r>
      <w:r w:rsidRPr="000D4B17">
        <w:rPr>
          <w:rFonts w:eastAsia="Times New Roman"/>
          <w:lang w:val="en-US"/>
        </w:rPr>
        <w:t>:</w:t>
      </w:r>
      <w:bookmarkEnd w:id="29"/>
      <w:r w:rsidRPr="000D4B17">
        <w:rPr>
          <w:rFonts w:eastAsia="Times New Roman"/>
          <w:lang w:val="en-US"/>
        </w:rPr>
        <w:t xml:space="preserve"> </w:t>
      </w:r>
    </w:p>
    <w:p w14:paraId="78F3AC29" w14:textId="77777777" w:rsidR="00B22921" w:rsidRPr="000D4B17" w:rsidRDefault="00B22921" w:rsidP="00AF6E96">
      <w:pPr>
        <w:rPr>
          <w:rFonts w:ascii="Calibri" w:eastAsia="Calibri" w:hAnsi="Calibri" w:cs="Calibri"/>
        </w:rPr>
      </w:pPr>
      <w:r w:rsidRPr="0024534E">
        <w:rPr>
          <w:rFonts w:ascii="Calibri" w:eastAsia="Calibri" w:hAnsi="Calibri" w:cs="Calibri"/>
        </w:rPr>
        <w:t xml:space="preserve">The study design was clear and reproducible. The randomisation method was </w:t>
      </w:r>
      <w:proofErr w:type="gramStart"/>
      <w:r w:rsidRPr="0024534E">
        <w:rPr>
          <w:rFonts w:ascii="Calibri" w:eastAsia="Calibri" w:hAnsi="Calibri" w:cs="Calibri"/>
        </w:rPr>
        <w:t>presented</w:t>
      </w:r>
      <w:proofErr w:type="gramEnd"/>
      <w:r w:rsidRPr="0024534E">
        <w:rPr>
          <w:rFonts w:ascii="Calibri" w:eastAsia="Calibri" w:hAnsi="Calibri" w:cs="Calibri"/>
        </w:rPr>
        <w:t xml:space="preserve"> and the authors claimed that it worked, although no clear statistical analysis was presented to compare baseline characteristics. The statistical methods were </w:t>
      </w:r>
      <w:proofErr w:type="gramStart"/>
      <w:r w:rsidRPr="0024534E">
        <w:rPr>
          <w:rFonts w:ascii="Calibri" w:eastAsia="Calibri" w:hAnsi="Calibri" w:cs="Calibri"/>
        </w:rPr>
        <w:t>appropriate</w:t>
      </w:r>
      <w:proofErr w:type="gramEnd"/>
      <w:r w:rsidRPr="0024534E">
        <w:rPr>
          <w:rFonts w:ascii="Calibri" w:eastAsia="Calibri" w:hAnsi="Calibri" w:cs="Calibri"/>
        </w:rPr>
        <w:t xml:space="preserve"> and the sample size matched the calculated figures. However, there are several questions on the methods of the study, mainly on the sample of the population and the primary outcome measure. Also, there was a risk of bias by absence of blinding. In summary, the results of this paper can be included in the systematic review with caution and acknowledging these questions.</w:t>
      </w:r>
    </w:p>
    <w:p w14:paraId="37208E11" w14:textId="6B48E909" w:rsidR="00B22921" w:rsidRPr="000D4B17" w:rsidRDefault="00B22921" w:rsidP="00AF6E96">
      <w:pPr>
        <w:rPr>
          <w:rFonts w:eastAsia="Times New Roman"/>
          <w:lang w:val="en-US"/>
        </w:rPr>
      </w:pPr>
      <w:bookmarkStart w:id="30" w:name="_Toc396767024"/>
      <w:r w:rsidRPr="0024534E">
        <w:rPr>
          <w:rFonts w:eastAsia="Times New Roman"/>
          <w:lang w:val="en-US"/>
        </w:rPr>
        <w:t>Karimi, et al., 2013</w:t>
      </w:r>
      <w:r w:rsidR="005D472B">
        <w:rPr>
          <w:rFonts w:eastAsia="Times New Roman"/>
          <w:lang w:val="en-US"/>
        </w:rPr>
        <w:t xml:space="preserve"> (29)</w:t>
      </w:r>
      <w:r w:rsidRPr="0024534E">
        <w:rPr>
          <w:rFonts w:eastAsia="Times New Roman"/>
          <w:lang w:val="en-US"/>
        </w:rPr>
        <w:t>:</w:t>
      </w:r>
      <w:bookmarkEnd w:id="30"/>
      <w:r w:rsidRPr="0024534E">
        <w:rPr>
          <w:rFonts w:eastAsia="Times New Roman"/>
          <w:lang w:val="en-US"/>
        </w:rPr>
        <w:t xml:space="preserve"> </w:t>
      </w:r>
    </w:p>
    <w:p w14:paraId="571508E5" w14:textId="77777777" w:rsidR="00B22921" w:rsidRPr="000D4B17" w:rsidRDefault="00B22921" w:rsidP="00AF6E96">
      <w:pPr>
        <w:rPr>
          <w:rFonts w:ascii="Calibri" w:eastAsia="Calibri" w:hAnsi="Calibri" w:cs="Calibri"/>
        </w:rPr>
      </w:pPr>
      <w:r w:rsidRPr="009F0DDA">
        <w:rPr>
          <w:rFonts w:ascii="Calibri" w:eastAsia="Calibri" w:hAnsi="Calibri" w:cs="Calibri"/>
        </w:rPr>
        <w:t>Besides high risk of selection bias and observer bias, the methods of the study are vague in several areas and data analysis and presentation are poor. The recruitment started on the day patients were seen in orthopaedic fracture clinic rather than day of diagnosis and treatment of the condition, which means patients</w:t>
      </w:r>
      <w:r>
        <w:rPr>
          <w:rFonts w:ascii="Calibri" w:eastAsia="Calibri" w:hAnsi="Calibri" w:cs="Calibri"/>
        </w:rPr>
        <w:t xml:space="preserve"> </w:t>
      </w:r>
      <w:r w:rsidRPr="009F0DDA">
        <w:rPr>
          <w:rFonts w:ascii="Calibri" w:eastAsia="Calibri" w:hAnsi="Calibri" w:cs="Calibri"/>
        </w:rPr>
        <w:t>received two periods (with possible two types of interventions) during their treatment, but only one period (and one intervention) was</w:t>
      </w:r>
      <w:r>
        <w:rPr>
          <w:rFonts w:ascii="Calibri" w:eastAsia="Calibri" w:hAnsi="Calibri" w:cs="Calibri"/>
        </w:rPr>
        <w:t xml:space="preserve"> </w:t>
      </w:r>
      <w:r w:rsidRPr="009F0DDA">
        <w:rPr>
          <w:rFonts w:ascii="Calibri" w:eastAsia="Calibri" w:hAnsi="Calibri" w:cs="Calibri"/>
        </w:rPr>
        <w:t xml:space="preserve">studied and correlated to the outcome. The study cannot be included in the systematic review as it did not meet the inclusion criterion that immobilisation or support should be “for the entire period of treatment”. No further information or </w:t>
      </w:r>
      <w:r w:rsidRPr="009F0DDA">
        <w:rPr>
          <w:rFonts w:ascii="Calibri" w:eastAsia="Calibri" w:hAnsi="Calibri" w:cs="Calibri"/>
        </w:rPr>
        <w:lastRenderedPageBreak/>
        <w:t>data could be extracted from the study due to the lack of information, poor data presentation and analysis and high risk of bias.</w:t>
      </w:r>
    </w:p>
    <w:p w14:paraId="5D032756" w14:textId="4EF029FA" w:rsidR="00B22921" w:rsidRPr="000D4B17" w:rsidRDefault="00B22921" w:rsidP="00AF6E96">
      <w:pPr>
        <w:rPr>
          <w:rFonts w:eastAsia="Times New Roman"/>
          <w:lang w:val="en-US"/>
        </w:rPr>
      </w:pPr>
      <w:bookmarkStart w:id="31" w:name="_Toc396767025"/>
      <w:r w:rsidRPr="009F0DDA">
        <w:rPr>
          <w:rFonts w:eastAsia="Times New Roman"/>
          <w:lang w:val="en-US"/>
        </w:rPr>
        <w:t>Williams, et al., 2013</w:t>
      </w:r>
      <w:r w:rsidR="005D472B">
        <w:rPr>
          <w:rFonts w:eastAsia="Times New Roman"/>
          <w:lang w:val="en-US"/>
        </w:rPr>
        <w:t xml:space="preserve"> (28)</w:t>
      </w:r>
      <w:r w:rsidRPr="009F0DDA">
        <w:rPr>
          <w:rFonts w:eastAsia="Times New Roman"/>
          <w:lang w:val="en-US"/>
        </w:rPr>
        <w:t>:</w:t>
      </w:r>
      <w:bookmarkEnd w:id="31"/>
      <w:r w:rsidRPr="009F0DDA">
        <w:rPr>
          <w:rFonts w:eastAsia="Times New Roman"/>
          <w:lang w:val="en-US"/>
        </w:rPr>
        <w:t xml:space="preserve"> </w:t>
      </w:r>
    </w:p>
    <w:p w14:paraId="00B8CBE4" w14:textId="77777777" w:rsidR="00B22921" w:rsidRPr="000D4B17" w:rsidRDefault="00B22921" w:rsidP="00AF6E96">
      <w:pPr>
        <w:rPr>
          <w:rFonts w:ascii="Calibri" w:eastAsia="Calibri" w:hAnsi="Calibri" w:cs="Calibri"/>
        </w:rPr>
      </w:pPr>
      <w:r w:rsidRPr="00581004">
        <w:rPr>
          <w:rFonts w:ascii="Calibri" w:eastAsia="Calibri" w:hAnsi="Calibri" w:cs="Calibri"/>
        </w:rPr>
        <w:t xml:space="preserve">The methods of the study were well thought-out, clear and repeatable. The randomisation method was stringent and worked well. The statistical methods were justified and appropriate. The sample size calculation was stated, but not clearly how it was </w:t>
      </w:r>
      <w:proofErr w:type="gramStart"/>
      <w:r w:rsidRPr="00581004">
        <w:rPr>
          <w:rFonts w:ascii="Calibri" w:eastAsia="Calibri" w:hAnsi="Calibri" w:cs="Calibri"/>
        </w:rPr>
        <w:t>done</w:t>
      </w:r>
      <w:proofErr w:type="gramEnd"/>
      <w:r w:rsidRPr="00581004">
        <w:rPr>
          <w:rFonts w:ascii="Calibri" w:eastAsia="Calibri" w:hAnsi="Calibri" w:cs="Calibri"/>
        </w:rPr>
        <w:t xml:space="preserve"> and no results of calculation were presented. However, the methodology can be scrutinised by the absence or any attempt of blinding, the vague intervention </w:t>
      </w:r>
      <w:r>
        <w:rPr>
          <w:rFonts w:ascii="Calibri" w:eastAsia="Calibri" w:hAnsi="Calibri" w:cs="Calibri"/>
        </w:rPr>
        <w:t>(</w:t>
      </w:r>
      <w:r w:rsidRPr="00581004">
        <w:rPr>
          <w:rFonts w:ascii="Calibri" w:eastAsia="Calibri" w:hAnsi="Calibri" w:cs="Calibri"/>
        </w:rPr>
        <w:t>the prefabricated cock-up wrist splint</w:t>
      </w:r>
      <w:r>
        <w:rPr>
          <w:rFonts w:ascii="Calibri" w:eastAsia="Calibri" w:hAnsi="Calibri" w:cs="Calibri"/>
        </w:rPr>
        <w:t>)</w:t>
      </w:r>
      <w:r w:rsidRPr="00581004">
        <w:rPr>
          <w:rFonts w:ascii="Calibri" w:eastAsia="Calibri" w:hAnsi="Calibri" w:cs="Calibri"/>
        </w:rPr>
        <w:t xml:space="preserve">. </w:t>
      </w:r>
    </w:p>
    <w:p w14:paraId="4C729D74" w14:textId="77777777" w:rsidR="00B22921" w:rsidRPr="000D4B17" w:rsidRDefault="00B22921" w:rsidP="00AF6E96">
      <w:pPr>
        <w:rPr>
          <w:rFonts w:ascii="Calibri" w:eastAsia="Calibri" w:hAnsi="Calibri" w:cs="Calibri"/>
        </w:rPr>
      </w:pPr>
      <w:r w:rsidRPr="00581004">
        <w:rPr>
          <w:rFonts w:ascii="Calibri" w:eastAsia="Calibri" w:hAnsi="Calibri" w:cs="Calibri"/>
        </w:rPr>
        <w:t xml:space="preserve">There was a risk of bias by absence of blinding and the practicality of the used splints and the way they were used. The results related to resources utilisation were presented in narrative </w:t>
      </w:r>
      <w:r>
        <w:rPr>
          <w:rFonts w:ascii="Calibri" w:eastAsia="Calibri" w:hAnsi="Calibri" w:cs="Calibri"/>
        </w:rPr>
        <w:t>way</w:t>
      </w:r>
      <w:r w:rsidRPr="00581004">
        <w:rPr>
          <w:rFonts w:ascii="Calibri" w:eastAsia="Calibri" w:hAnsi="Calibri" w:cs="Calibri"/>
        </w:rPr>
        <w:t xml:space="preserve"> without presentation of actual figures of cost. In general terms, the results of this paper can be included in the systematic review with caution and discussion of these risks and practicality issues. However, these results cannot be included in a meta-analysis for the above reasons. The results related to resources cannot be included, as no cost related figures were presented.</w:t>
      </w:r>
    </w:p>
    <w:p w14:paraId="640F4AC0" w14:textId="77777777" w:rsidR="00B22921" w:rsidRPr="00581004" w:rsidRDefault="00B22921" w:rsidP="00AF6E96">
      <w:pPr>
        <w:rPr>
          <w:rFonts w:eastAsia="Times New Roman"/>
          <w:lang w:val="en-US"/>
        </w:rPr>
      </w:pPr>
      <w:bookmarkStart w:id="32" w:name="_Toc396767026"/>
      <w:r w:rsidRPr="00581004">
        <w:rPr>
          <w:rFonts w:eastAsia="Times New Roman"/>
          <w:lang w:val="en-US"/>
        </w:rPr>
        <w:t>Overall outcome of appraisals of potentially included studies:</w:t>
      </w:r>
      <w:bookmarkEnd w:id="32"/>
    </w:p>
    <w:p w14:paraId="39B3845D" w14:textId="2EA882E9" w:rsidR="00B22921" w:rsidRPr="000D4B17" w:rsidRDefault="00B22921" w:rsidP="00AF6E96">
      <w:pPr>
        <w:rPr>
          <w:rFonts w:ascii="Calibri" w:eastAsia="Calibri" w:hAnsi="Calibri" w:cs="Calibri"/>
        </w:rPr>
      </w:pPr>
      <w:r w:rsidRPr="00581004">
        <w:rPr>
          <w:rFonts w:ascii="Calibri" w:eastAsia="Calibri" w:hAnsi="Calibri" w:cs="Calibri"/>
        </w:rPr>
        <w:t>Following in-depth review and critical appraisal of these papers, two papers did not meet the inclusion criterion of using the immobilisation device for the entire period of treatment. Davidson, et al. (2001) and Karimi, et al. (2013) recruited subjects in orthopaedic fracture clinic after they received different intervention when diagnosed in emergency department</w:t>
      </w:r>
      <w:r w:rsidR="00B74251">
        <w:rPr>
          <w:rFonts w:ascii="Calibri" w:eastAsia="Calibri" w:hAnsi="Calibri" w:cs="Calibri"/>
        </w:rPr>
        <w:t xml:space="preserve"> </w:t>
      </w:r>
      <w:r w:rsidR="00B74251" w:rsidRPr="005D472B">
        <w:rPr>
          <w:rFonts w:ascii="Calibri" w:eastAsia="Calibri" w:hAnsi="Calibri" w:cs="Calibri"/>
        </w:rPr>
        <w:t>(6</w:t>
      </w:r>
      <w:r w:rsidR="005D472B" w:rsidRPr="005D472B">
        <w:rPr>
          <w:rFonts w:ascii="Calibri" w:eastAsia="Calibri" w:hAnsi="Calibri" w:cs="Calibri"/>
        </w:rPr>
        <w:t>, 29</w:t>
      </w:r>
      <w:r w:rsidR="00B74251" w:rsidRPr="005D472B">
        <w:rPr>
          <w:rFonts w:ascii="Calibri" w:eastAsia="Calibri" w:hAnsi="Calibri" w:cs="Calibri"/>
        </w:rPr>
        <w:t>)</w:t>
      </w:r>
      <w:r w:rsidRPr="00581004">
        <w:rPr>
          <w:rFonts w:ascii="Calibri" w:eastAsia="Calibri" w:hAnsi="Calibri" w:cs="Calibri"/>
        </w:rPr>
        <w:t>. The other two studies (</w:t>
      </w:r>
      <w:r w:rsidR="00D70A6F">
        <w:rPr>
          <w:rFonts w:ascii="Calibri" w:eastAsia="Calibri" w:hAnsi="Calibri" w:cs="Calibri"/>
        </w:rPr>
        <w:t>7</w:t>
      </w:r>
      <w:r w:rsidR="005D472B">
        <w:rPr>
          <w:rFonts w:ascii="Calibri" w:eastAsia="Calibri" w:hAnsi="Calibri" w:cs="Calibri"/>
        </w:rPr>
        <w:t>, 28</w:t>
      </w:r>
      <w:r w:rsidRPr="00581004">
        <w:rPr>
          <w:rFonts w:ascii="Calibri" w:eastAsia="Calibri" w:hAnsi="Calibri" w:cs="Calibri"/>
        </w:rPr>
        <w:t xml:space="preserve">) can be included with caution and discussion on the risk of bias in </w:t>
      </w:r>
      <w:proofErr w:type="gramStart"/>
      <w:r w:rsidRPr="00581004">
        <w:rPr>
          <w:rFonts w:ascii="Calibri" w:eastAsia="Calibri" w:hAnsi="Calibri" w:cs="Calibri"/>
        </w:rPr>
        <w:t>both of the two</w:t>
      </w:r>
      <w:proofErr w:type="gramEnd"/>
      <w:r w:rsidRPr="00581004">
        <w:rPr>
          <w:rFonts w:ascii="Calibri" w:eastAsia="Calibri" w:hAnsi="Calibri" w:cs="Calibri"/>
        </w:rPr>
        <w:t xml:space="preserve"> trials.</w:t>
      </w:r>
    </w:p>
    <w:p w14:paraId="36E9AABE" w14:textId="408678EA" w:rsidR="00B22921" w:rsidRPr="000D4B17" w:rsidRDefault="00B22921" w:rsidP="00AF6E96">
      <w:pPr>
        <w:rPr>
          <w:rFonts w:ascii="Calibri" w:eastAsia="Calibri" w:hAnsi="Calibri" w:cs="Calibri"/>
        </w:rPr>
      </w:pPr>
      <w:r w:rsidRPr="00581004">
        <w:rPr>
          <w:rFonts w:ascii="Calibri" w:eastAsia="Calibri" w:hAnsi="Calibri" w:cs="Calibri"/>
        </w:rPr>
        <w:t>In Plint, et al.’s study (2006), the eligible age for inclusion was 6 to 15 years and the primary outcome measure was ASKp score at day 14 post-injury and secondary outcomes were ASKp score at days 7, 20, and 28 post-injury; change from baseline in ASKp at days 7, 14, 20, and 28; pain; ability to perform daily and sporting activities throughout the study; length of splint use; parent and child satisfaction at day 28; and re-fracture at six months. Patients were randomised to either cast or splint group. Those in the splint group were advised to use the splint for comfort only. In Williams, et al’s study (2013), the age of the included subjects was 2 to 17 years and was randomised to cast or splint group. Those in the splint group splints were advised to wear the splint as much as possible. The primary outcome of the study was satisfaction, convenience and pain</w:t>
      </w:r>
      <w:r w:rsidR="005D472B">
        <w:rPr>
          <w:rFonts w:ascii="Calibri" w:eastAsia="Calibri" w:hAnsi="Calibri" w:cs="Calibri"/>
        </w:rPr>
        <w:t xml:space="preserve"> (28)</w:t>
      </w:r>
      <w:r w:rsidRPr="00581004">
        <w:rPr>
          <w:rFonts w:ascii="Calibri" w:eastAsia="Calibri" w:hAnsi="Calibri" w:cs="Calibri"/>
        </w:rPr>
        <w:t xml:space="preserve">. </w:t>
      </w:r>
    </w:p>
    <w:p w14:paraId="3D481563" w14:textId="7A5E4E62" w:rsidR="00B22921" w:rsidRPr="000D4B17" w:rsidRDefault="00B22921" w:rsidP="00AF6E96">
      <w:pPr>
        <w:rPr>
          <w:rFonts w:ascii="Calibri" w:eastAsia="Calibri" w:hAnsi="Calibri" w:cs="Calibri"/>
        </w:rPr>
      </w:pPr>
      <w:r w:rsidRPr="00581004">
        <w:rPr>
          <w:rFonts w:ascii="Calibri" w:eastAsia="Calibri" w:hAnsi="Calibri" w:cs="Calibri"/>
        </w:rPr>
        <w:t xml:space="preserve">With the differences between age groups, the way patients were advised to use the splints and the outcome measures between the two studies, there is clear lack of heterogeneity between the groups in these two studies and a meta-analysis is unlikely to be meaningful; additionally, with the </w:t>
      </w:r>
      <w:proofErr w:type="gramStart"/>
      <w:r w:rsidRPr="00581004">
        <w:rPr>
          <w:rFonts w:ascii="Calibri" w:eastAsia="Calibri" w:hAnsi="Calibri" w:cs="Calibri"/>
        </w:rPr>
        <w:t>above mentioned</w:t>
      </w:r>
      <w:proofErr w:type="gramEnd"/>
      <w:r w:rsidRPr="00581004">
        <w:rPr>
          <w:rFonts w:ascii="Calibri" w:eastAsia="Calibri" w:hAnsi="Calibri" w:cs="Calibri"/>
        </w:rPr>
        <w:t xml:space="preserve"> risks of bias, any meta-analysis will carry the same risks of bias and the results are unlikely to be generalisable. The results of these two studies are, therefore, presented and discussed in narrative </w:t>
      </w:r>
      <w:r>
        <w:rPr>
          <w:rFonts w:ascii="Calibri" w:eastAsia="Calibri" w:hAnsi="Calibri" w:cs="Calibri"/>
        </w:rPr>
        <w:t>way</w:t>
      </w:r>
      <w:r w:rsidRPr="00581004">
        <w:rPr>
          <w:rFonts w:ascii="Calibri" w:eastAsia="Calibri" w:hAnsi="Calibri" w:cs="Calibri"/>
        </w:rPr>
        <w:t xml:space="preserve"> in this systematic review and detailed analysis based on the criteria for judging risk of bias (</w:t>
      </w:r>
      <w:r w:rsidR="0031240F">
        <w:rPr>
          <w:rFonts w:ascii="Calibri" w:eastAsia="Calibri" w:hAnsi="Calibri" w:cs="Calibri"/>
        </w:rPr>
        <w:t>20</w:t>
      </w:r>
      <w:r w:rsidRPr="00581004">
        <w:rPr>
          <w:rFonts w:ascii="Calibri" w:eastAsia="Calibri" w:hAnsi="Calibri" w:cs="Calibri"/>
        </w:rPr>
        <w:t>) is applied.</w:t>
      </w:r>
    </w:p>
    <w:p w14:paraId="1169530E" w14:textId="77777777" w:rsidR="00B22921" w:rsidRPr="00581004" w:rsidRDefault="00B22921" w:rsidP="00AF6E96">
      <w:pPr>
        <w:rPr>
          <w:rFonts w:eastAsia="Times New Roman"/>
          <w:lang w:val="en-US"/>
        </w:rPr>
      </w:pPr>
      <w:bookmarkStart w:id="33" w:name="_Toc396767027"/>
      <w:r w:rsidRPr="00581004">
        <w:rPr>
          <w:rFonts w:eastAsia="Times New Roman"/>
          <w:lang w:val="en-US"/>
        </w:rPr>
        <w:t>Assessment of risk of bias in the included studies:</w:t>
      </w:r>
      <w:bookmarkEnd w:id="33"/>
    </w:p>
    <w:p w14:paraId="10A3FCA2" w14:textId="5184699F" w:rsidR="00B22921" w:rsidRPr="000D4B17" w:rsidRDefault="00B22921" w:rsidP="00AF6E96">
      <w:pPr>
        <w:rPr>
          <w:rFonts w:ascii="Calibri" w:eastAsia="Calibri" w:hAnsi="Calibri" w:cs="Calibri"/>
        </w:rPr>
      </w:pPr>
      <w:r w:rsidRPr="00581004">
        <w:rPr>
          <w:rFonts w:ascii="Calibri" w:eastAsia="Calibri" w:hAnsi="Calibri" w:cs="Calibri"/>
        </w:rPr>
        <w:lastRenderedPageBreak/>
        <w:t>Both studies (</w:t>
      </w:r>
      <w:r w:rsidR="00D70A6F">
        <w:rPr>
          <w:rFonts w:ascii="Calibri" w:eastAsia="Calibri" w:hAnsi="Calibri" w:cs="Calibri"/>
        </w:rPr>
        <w:t>7</w:t>
      </w:r>
      <w:r w:rsidR="005D472B">
        <w:rPr>
          <w:rFonts w:ascii="Calibri" w:eastAsia="Calibri" w:hAnsi="Calibri" w:cs="Calibri"/>
        </w:rPr>
        <w:t>, 28</w:t>
      </w:r>
      <w:r w:rsidRPr="00581004">
        <w:rPr>
          <w:rFonts w:ascii="Calibri" w:eastAsia="Calibri" w:hAnsi="Calibri" w:cs="Calibri"/>
        </w:rPr>
        <w:t xml:space="preserve">) carried variable degrees of risk of bias from low to high in different domains and unclear risk in </w:t>
      </w:r>
      <w:proofErr w:type="gramStart"/>
      <w:r w:rsidRPr="00581004">
        <w:rPr>
          <w:rFonts w:ascii="Calibri" w:eastAsia="Calibri" w:hAnsi="Calibri" w:cs="Calibri"/>
        </w:rPr>
        <w:t>the majority of</w:t>
      </w:r>
      <w:proofErr w:type="gramEnd"/>
      <w:r w:rsidRPr="00581004">
        <w:rPr>
          <w:rFonts w:ascii="Calibri" w:eastAsia="Calibri" w:hAnsi="Calibri" w:cs="Calibri"/>
        </w:rPr>
        <w:t xml:space="preserve"> the domains assessed based on the criteria for judging risks of bias (</w:t>
      </w:r>
      <w:r w:rsidR="0031240F">
        <w:rPr>
          <w:rFonts w:ascii="Calibri" w:eastAsia="Calibri" w:hAnsi="Calibri" w:cs="Calibri"/>
        </w:rPr>
        <w:t>20</w:t>
      </w:r>
      <w:r w:rsidRPr="00581004">
        <w:rPr>
          <w:rFonts w:ascii="Calibri" w:eastAsia="Calibri" w:hAnsi="Calibri" w:cs="Calibri"/>
        </w:rPr>
        <w:t xml:space="preserve">). Detailed outcome of assessment is in Table </w:t>
      </w:r>
      <w:r w:rsidR="00AF6E96">
        <w:rPr>
          <w:rFonts w:ascii="Calibri" w:eastAsia="Calibri" w:hAnsi="Calibri" w:cs="Calibri"/>
        </w:rPr>
        <w:t>3</w:t>
      </w:r>
      <w:r w:rsidRPr="00581004">
        <w:rPr>
          <w:rFonts w:ascii="Calibri" w:eastAsia="Calibri" w:hAnsi="Calibri" w:cs="Calibri"/>
        </w:rPr>
        <w:t>.</w:t>
      </w:r>
    </w:p>
    <w:p w14:paraId="7E1F7D55" w14:textId="77777777" w:rsidR="00B22921" w:rsidRPr="00581004" w:rsidRDefault="00B22921" w:rsidP="00AF6E96">
      <w:pPr>
        <w:rPr>
          <w:rFonts w:eastAsia="Times New Roman"/>
          <w:lang w:val="en-US"/>
        </w:rPr>
      </w:pPr>
      <w:bookmarkStart w:id="34" w:name="_Toc396767028"/>
      <w:r w:rsidRPr="00581004">
        <w:rPr>
          <w:rFonts w:eastAsia="Times New Roman"/>
          <w:lang w:val="en-US"/>
        </w:rPr>
        <w:t>Cost-effectiveness analysis:</w:t>
      </w:r>
      <w:bookmarkEnd w:id="34"/>
    </w:p>
    <w:p w14:paraId="191825B6" w14:textId="1B999CF5" w:rsidR="00B22921" w:rsidRPr="000D4B17" w:rsidRDefault="00B22921" w:rsidP="00AF6E96">
      <w:pPr>
        <w:rPr>
          <w:rFonts w:ascii="Calibri" w:eastAsia="Calibri" w:hAnsi="Calibri" w:cs="Calibri"/>
        </w:rPr>
      </w:pPr>
      <w:r w:rsidRPr="00581004">
        <w:rPr>
          <w:rFonts w:ascii="Calibri" w:eastAsia="Calibri" w:hAnsi="Calibri" w:cs="Calibri"/>
        </w:rPr>
        <w:t>Cost-effectiveness analysis between cast and splint for treatment of distal radius torus fractures is scarce in the literature. When analysing the cost differences between the groups, Davidson, et al. (2001) estimated a saving of £4505 if those in the cast group were treated with splints (based on £53 saving per patient). The authors estimated the cost of treatment in cast group at £116.98 (which involved a radiograph in emergency department, a temporary splint, attendance at the clinic, application of cast and future attendance for removal of cast) and</w:t>
      </w:r>
      <w:r>
        <w:rPr>
          <w:rFonts w:ascii="Calibri" w:eastAsia="Calibri" w:hAnsi="Calibri" w:cs="Calibri"/>
        </w:rPr>
        <w:t xml:space="preserve"> </w:t>
      </w:r>
      <w:r w:rsidRPr="00581004">
        <w:rPr>
          <w:rFonts w:ascii="Calibri" w:eastAsia="Calibri" w:hAnsi="Calibri" w:cs="Calibri"/>
        </w:rPr>
        <w:t>cost of treatment in splint groups of £65.75 (which involves a radiograph in emergency department, application of splint and clinic attendance)</w:t>
      </w:r>
      <w:r w:rsidR="00B74251">
        <w:rPr>
          <w:rFonts w:ascii="Calibri" w:eastAsia="Calibri" w:hAnsi="Calibri" w:cs="Calibri"/>
        </w:rPr>
        <w:t xml:space="preserve"> (6).</w:t>
      </w:r>
      <w:r w:rsidRPr="00581004">
        <w:rPr>
          <w:rFonts w:ascii="Calibri" w:eastAsia="Calibri" w:hAnsi="Calibri" w:cs="Calibri"/>
        </w:rPr>
        <w:t xml:space="preserve"> The details of estimated costs of treatment are presented in Table 6. No cost related to child absence from school, parents’ time off to attend clinic or other similar forms of cost were included. </w:t>
      </w:r>
    </w:p>
    <w:p w14:paraId="4E6B6619" w14:textId="4DA547DF" w:rsidR="00B22921" w:rsidRPr="000D4B17" w:rsidRDefault="00B22921" w:rsidP="00AF6E96">
      <w:pPr>
        <w:rPr>
          <w:rFonts w:ascii="Calibri" w:eastAsia="Calibri" w:hAnsi="Calibri" w:cs="Calibri"/>
        </w:rPr>
      </w:pPr>
      <w:r w:rsidRPr="00581004">
        <w:rPr>
          <w:rFonts w:ascii="Calibri" w:eastAsia="Calibri" w:hAnsi="Calibri" w:cs="Calibri"/>
        </w:rPr>
        <w:t>Other studies presented limited information of cost benefit of splint compared to cast. Williams, et al. (2013) concluded that there was significantly more ‘resource utilisation’ in cast group that in splint group. Resource utilisation compared in the study included assistant required when immobilisation was placed, time of immobilisation and physician delay of at least one hour from radiograph to immobilisation</w:t>
      </w:r>
      <w:r w:rsidR="005D472B">
        <w:rPr>
          <w:rFonts w:ascii="Calibri" w:eastAsia="Calibri" w:hAnsi="Calibri" w:cs="Calibri"/>
        </w:rPr>
        <w:t xml:space="preserve"> (28)</w:t>
      </w:r>
      <w:r w:rsidRPr="00581004">
        <w:rPr>
          <w:rFonts w:ascii="Calibri" w:eastAsia="Calibri" w:hAnsi="Calibri" w:cs="Calibri"/>
        </w:rPr>
        <w:t>. Although these might reflect cost, no cost figures were presented. Karimi, et al. (2013) estimated 6 US dollars saving per patient treated with splint compared to cast. The authors did not present detailed cost-effectiveness analysis, but calculated the cost in cast group, which involved screening visit, radiography in emergency department, visit to fracture clinic, cast application and second attendance for cast removal (15.3 US dollars in Iran) compared to the splint group, which involved screening visit, radiography in emergency department, visit to fracture clinic and application of splint (9.3 US dollars in Iran)</w:t>
      </w:r>
      <w:r w:rsidR="005D472B">
        <w:rPr>
          <w:rFonts w:ascii="Calibri" w:eastAsia="Calibri" w:hAnsi="Calibri" w:cs="Calibri"/>
        </w:rPr>
        <w:t xml:space="preserve"> (29)</w:t>
      </w:r>
      <w:r w:rsidRPr="00581004">
        <w:rPr>
          <w:rFonts w:ascii="Calibri" w:eastAsia="Calibri" w:hAnsi="Calibri" w:cs="Calibri"/>
        </w:rPr>
        <w:t xml:space="preserve">. </w:t>
      </w:r>
    </w:p>
    <w:p w14:paraId="0938A2A7" w14:textId="7D046BD4" w:rsidR="00B22921" w:rsidRPr="000D4B17" w:rsidRDefault="00B22921" w:rsidP="00AF6E96">
      <w:pPr>
        <w:rPr>
          <w:rFonts w:ascii="Calibri" w:eastAsia="Calibri" w:hAnsi="Calibri" w:cs="Calibri"/>
        </w:rPr>
      </w:pPr>
      <w:r w:rsidRPr="00581004">
        <w:rPr>
          <w:rFonts w:ascii="Calibri" w:eastAsia="Calibri" w:hAnsi="Calibri" w:cs="Calibri"/>
        </w:rPr>
        <w:t>The limited presentation of cost analysis of splint compared to cast supports the logical view of splint being more cost-effective. It needs less resources (one person to apply and quicker time of application) and can be managed at home, compared to attending fracture clinic (typically twice), which incurs costs on the treating hospital, parents and the community, due to absence from work and school. Cumberland, et al (2009) estimated annual saving of £56,096 for their hospital if all children with distal radius torus fracture had been treated with splint and managed from emergency department based on predefined protocol</w:t>
      </w:r>
      <w:r w:rsidR="005D472B">
        <w:rPr>
          <w:rFonts w:ascii="Calibri" w:eastAsia="Calibri" w:hAnsi="Calibri" w:cs="Calibri"/>
        </w:rPr>
        <w:t xml:space="preserve"> (27)</w:t>
      </w:r>
      <w:r w:rsidRPr="00581004">
        <w:rPr>
          <w:rFonts w:ascii="Calibri" w:eastAsia="Calibri" w:hAnsi="Calibri" w:cs="Calibri"/>
        </w:rPr>
        <w:t>.</w:t>
      </w:r>
    </w:p>
    <w:p w14:paraId="2F3702A7" w14:textId="77777777" w:rsidR="00B22921" w:rsidRPr="0005312C" w:rsidRDefault="00B22921" w:rsidP="00AF6E96">
      <w:pPr>
        <w:rPr>
          <w:b/>
          <w:bCs/>
          <w:lang w:val="en-US"/>
        </w:rPr>
      </w:pPr>
      <w:bookmarkStart w:id="35" w:name="_Toc396767030"/>
      <w:r w:rsidRPr="0005312C">
        <w:rPr>
          <w:b/>
          <w:bCs/>
          <w:lang w:val="en-US"/>
        </w:rPr>
        <w:t>Discussion</w:t>
      </w:r>
      <w:bookmarkEnd w:id="35"/>
    </w:p>
    <w:p w14:paraId="4309C7B1" w14:textId="77777777" w:rsidR="00B22921" w:rsidRPr="00581004" w:rsidRDefault="00B22921" w:rsidP="00AF6E96">
      <w:pPr>
        <w:rPr>
          <w:rFonts w:eastAsia="Times New Roman"/>
          <w:lang w:val="en-US"/>
        </w:rPr>
      </w:pPr>
      <w:bookmarkStart w:id="36" w:name="_Toc396767031"/>
      <w:r w:rsidRPr="00581004">
        <w:rPr>
          <w:rFonts w:eastAsia="Times New Roman"/>
          <w:lang w:val="en-US"/>
        </w:rPr>
        <w:t>Clinical-effectiveness:</w:t>
      </w:r>
      <w:bookmarkEnd w:id="36"/>
    </w:p>
    <w:p w14:paraId="693EB687" w14:textId="2EF2BEAB" w:rsidR="00B22921" w:rsidRPr="000D4B17" w:rsidRDefault="00B22921" w:rsidP="00AF6E96">
      <w:pPr>
        <w:rPr>
          <w:rFonts w:ascii="Calibri" w:eastAsia="Calibri" w:hAnsi="Calibri" w:cs="Calibri"/>
        </w:rPr>
      </w:pPr>
      <w:r w:rsidRPr="00581004">
        <w:rPr>
          <w:rFonts w:ascii="Calibri" w:eastAsia="Calibri" w:hAnsi="Calibri" w:cs="Calibri"/>
        </w:rPr>
        <w:t>Wrist torus fractures are inherently stable and previous studies suggested that the risk of displacement does not exist (</w:t>
      </w:r>
      <w:r w:rsidR="009B6ECE">
        <w:rPr>
          <w:rFonts w:ascii="Calibri" w:eastAsia="Calibri" w:hAnsi="Calibri" w:cs="Calibri"/>
        </w:rPr>
        <w:t>3</w:t>
      </w:r>
      <w:r w:rsidR="00307C0B">
        <w:rPr>
          <w:rFonts w:ascii="Calibri" w:eastAsia="Calibri" w:hAnsi="Calibri" w:cs="Calibri"/>
        </w:rPr>
        <w:t>-</w:t>
      </w:r>
      <w:r w:rsidR="00D70A6F">
        <w:rPr>
          <w:rFonts w:ascii="Calibri" w:eastAsia="Calibri" w:hAnsi="Calibri" w:cs="Calibri"/>
        </w:rPr>
        <w:t>7</w:t>
      </w:r>
      <w:r w:rsidRPr="00581004">
        <w:rPr>
          <w:rFonts w:ascii="Calibri" w:eastAsia="Calibri" w:hAnsi="Calibri" w:cs="Calibri"/>
        </w:rPr>
        <w:t>). In their review study, May and Grayson (2009) concluded that these fractures will heal regardless of the treatment provided</w:t>
      </w:r>
      <w:r w:rsidR="00B74251">
        <w:rPr>
          <w:rFonts w:ascii="Calibri" w:eastAsia="Calibri" w:hAnsi="Calibri" w:cs="Calibri"/>
        </w:rPr>
        <w:t xml:space="preserve"> (14)</w:t>
      </w:r>
      <w:r w:rsidRPr="00581004">
        <w:rPr>
          <w:rFonts w:ascii="Calibri" w:eastAsia="Calibri" w:hAnsi="Calibri" w:cs="Calibri"/>
        </w:rPr>
        <w:t xml:space="preserve">. </w:t>
      </w:r>
    </w:p>
    <w:p w14:paraId="25ED4218" w14:textId="795024CF" w:rsidR="00B22921" w:rsidRPr="000D4B17" w:rsidRDefault="00B22921" w:rsidP="005D472B">
      <w:pPr>
        <w:rPr>
          <w:rFonts w:ascii="Calibri" w:eastAsia="Calibri" w:hAnsi="Calibri" w:cs="Calibri"/>
        </w:rPr>
      </w:pPr>
      <w:r w:rsidRPr="00581004">
        <w:rPr>
          <w:rFonts w:ascii="Calibri" w:eastAsia="Calibri" w:hAnsi="Calibri" w:cs="Calibri"/>
        </w:rPr>
        <w:t>Several studies attempted to determine whether</w:t>
      </w:r>
      <w:r>
        <w:rPr>
          <w:rFonts w:ascii="Calibri" w:eastAsia="Calibri" w:hAnsi="Calibri" w:cs="Calibri"/>
        </w:rPr>
        <w:t xml:space="preserve"> </w:t>
      </w:r>
      <w:r w:rsidRPr="00581004">
        <w:rPr>
          <w:rFonts w:ascii="Calibri" w:eastAsia="Calibri" w:hAnsi="Calibri" w:cs="Calibri"/>
        </w:rPr>
        <w:t>alternative methods of support or immobilisation are superior to the traditional way of cast immobilisation (</w:t>
      </w:r>
      <w:r w:rsidR="00307C0B">
        <w:rPr>
          <w:rFonts w:ascii="Calibri" w:eastAsia="Calibri" w:hAnsi="Calibri" w:cs="Calibri"/>
        </w:rPr>
        <w:t>4,</w:t>
      </w:r>
      <w:r w:rsidR="00D70A6F">
        <w:rPr>
          <w:rFonts w:ascii="Calibri" w:eastAsia="Calibri" w:hAnsi="Calibri" w:cs="Calibri"/>
        </w:rPr>
        <w:t>6</w:t>
      </w:r>
      <w:r w:rsidR="00307C0B">
        <w:rPr>
          <w:rFonts w:ascii="Calibri" w:eastAsia="Calibri" w:hAnsi="Calibri" w:cs="Calibri"/>
        </w:rPr>
        <w:t>,12,</w:t>
      </w:r>
      <w:r w:rsidR="00B74251">
        <w:rPr>
          <w:rFonts w:ascii="Calibri" w:eastAsia="Calibri" w:hAnsi="Calibri" w:cs="Calibri"/>
        </w:rPr>
        <w:t>13</w:t>
      </w:r>
      <w:r w:rsidR="00307C0B">
        <w:rPr>
          <w:rFonts w:ascii="Calibri" w:eastAsia="Calibri" w:hAnsi="Calibri" w:cs="Calibri"/>
        </w:rPr>
        <w:t>,</w:t>
      </w:r>
      <w:r w:rsidR="00D70A6F">
        <w:rPr>
          <w:rFonts w:ascii="Calibri" w:eastAsia="Calibri" w:hAnsi="Calibri" w:cs="Calibri"/>
        </w:rPr>
        <w:t>7</w:t>
      </w:r>
      <w:r w:rsidRPr="00581004">
        <w:rPr>
          <w:rFonts w:ascii="Calibri" w:eastAsia="Calibri" w:hAnsi="Calibri" w:cs="Calibri"/>
        </w:rPr>
        <w:t>). This systematic review</w:t>
      </w:r>
      <w:r>
        <w:rPr>
          <w:rFonts w:ascii="Calibri" w:eastAsia="Calibri" w:hAnsi="Calibri" w:cs="Calibri"/>
        </w:rPr>
        <w:t xml:space="preserve"> </w:t>
      </w:r>
      <w:r w:rsidRPr="00581004">
        <w:rPr>
          <w:rFonts w:ascii="Calibri" w:eastAsia="Calibri" w:hAnsi="Calibri" w:cs="Calibri"/>
        </w:rPr>
        <w:t>found very few papers examining use of splint in management of distal radius torus fracture (</w:t>
      </w:r>
      <w:r w:rsidR="00D70A6F">
        <w:rPr>
          <w:rFonts w:ascii="Calibri" w:eastAsia="Calibri" w:hAnsi="Calibri" w:cs="Calibri"/>
        </w:rPr>
        <w:t>6</w:t>
      </w:r>
      <w:r w:rsidR="00307C0B">
        <w:rPr>
          <w:rFonts w:ascii="Calibri" w:eastAsia="Calibri" w:hAnsi="Calibri" w:cs="Calibri"/>
        </w:rPr>
        <w:t>,</w:t>
      </w:r>
      <w:r w:rsidR="00D70A6F">
        <w:rPr>
          <w:rFonts w:ascii="Calibri" w:eastAsia="Calibri" w:hAnsi="Calibri" w:cs="Calibri"/>
        </w:rPr>
        <w:t>7</w:t>
      </w:r>
      <w:r w:rsidR="00307C0B">
        <w:rPr>
          <w:rFonts w:ascii="Calibri" w:eastAsia="Calibri" w:hAnsi="Calibri" w:cs="Calibri"/>
        </w:rPr>
        <w:t>,28,</w:t>
      </w:r>
      <w:r w:rsidR="005D472B">
        <w:rPr>
          <w:rFonts w:ascii="Calibri" w:eastAsia="Calibri" w:hAnsi="Calibri" w:cs="Calibri"/>
        </w:rPr>
        <w:t>29</w:t>
      </w:r>
      <w:r w:rsidRPr="00581004">
        <w:rPr>
          <w:rFonts w:ascii="Calibri" w:eastAsia="Calibri" w:hAnsi="Calibri" w:cs="Calibri"/>
        </w:rPr>
        <w:t xml:space="preserve">) </w:t>
      </w:r>
      <w:r w:rsidRPr="00581004">
        <w:rPr>
          <w:rFonts w:ascii="Calibri" w:eastAsia="Calibri" w:hAnsi="Calibri" w:cs="Calibri"/>
        </w:rPr>
        <w:lastRenderedPageBreak/>
        <w:t>and in only two of the studies splints were used from the day the fractures were diagnosed (</w:t>
      </w:r>
      <w:r w:rsidR="00D70A6F">
        <w:rPr>
          <w:rFonts w:ascii="Calibri" w:eastAsia="Calibri" w:hAnsi="Calibri" w:cs="Calibri"/>
        </w:rPr>
        <w:t>7</w:t>
      </w:r>
      <w:r w:rsidR="005D472B">
        <w:rPr>
          <w:rFonts w:ascii="Calibri" w:eastAsia="Calibri" w:hAnsi="Calibri" w:cs="Calibri"/>
        </w:rPr>
        <w:t>,28</w:t>
      </w:r>
      <w:r w:rsidRPr="00581004">
        <w:rPr>
          <w:rFonts w:ascii="Calibri" w:eastAsia="Calibri" w:hAnsi="Calibri" w:cs="Calibri"/>
        </w:rPr>
        <w:t xml:space="preserve">). The conclusion in all of these studies was that there </w:t>
      </w:r>
      <w:proofErr w:type="gramStart"/>
      <w:r w:rsidRPr="00581004">
        <w:rPr>
          <w:rFonts w:ascii="Calibri" w:eastAsia="Calibri" w:hAnsi="Calibri" w:cs="Calibri"/>
        </w:rPr>
        <w:t>were</w:t>
      </w:r>
      <w:proofErr w:type="gramEnd"/>
      <w:r w:rsidRPr="00581004">
        <w:rPr>
          <w:rFonts w:ascii="Calibri" w:eastAsia="Calibri" w:hAnsi="Calibri" w:cs="Calibri"/>
        </w:rPr>
        <w:t xml:space="preserve"> no significant difference in outcome between casts and splints; and some papers found that splints were more cost effective and utilised less resources (</w:t>
      </w:r>
      <w:r w:rsidR="00D70A6F">
        <w:rPr>
          <w:rFonts w:ascii="Calibri" w:eastAsia="Calibri" w:hAnsi="Calibri" w:cs="Calibri"/>
        </w:rPr>
        <w:t>6</w:t>
      </w:r>
      <w:r w:rsidR="00307C0B">
        <w:rPr>
          <w:rFonts w:ascii="Calibri" w:eastAsia="Calibri" w:hAnsi="Calibri" w:cs="Calibri"/>
        </w:rPr>
        <w:t>,28,</w:t>
      </w:r>
      <w:r w:rsidR="005D472B">
        <w:rPr>
          <w:rFonts w:ascii="Calibri" w:eastAsia="Calibri" w:hAnsi="Calibri" w:cs="Calibri"/>
        </w:rPr>
        <w:t>29</w:t>
      </w:r>
      <w:r w:rsidRPr="00581004">
        <w:rPr>
          <w:rFonts w:ascii="Calibri" w:eastAsia="Calibri" w:hAnsi="Calibri" w:cs="Calibri"/>
        </w:rPr>
        <w:t>). However, there are several concerns and questions about the methodology and results of these papers. The findings of these studies cannot be accepted and generalised without further clarification and any application of these results should be undertaken with caution. One can argue that the consensus agreement among all studies that examined different methods of immobilisation of distal radius torus fracture is that they are stable and don’t tend to displace, no matter what the immobilisation device is (</w:t>
      </w:r>
      <w:r w:rsidR="009B6ECE">
        <w:rPr>
          <w:rFonts w:ascii="Calibri" w:eastAsia="Calibri" w:hAnsi="Calibri" w:cs="Calibri"/>
        </w:rPr>
        <w:t>3</w:t>
      </w:r>
      <w:r w:rsidR="00FC0A04">
        <w:rPr>
          <w:rFonts w:ascii="Calibri" w:eastAsia="Calibri" w:hAnsi="Calibri" w:cs="Calibri"/>
        </w:rPr>
        <w:t>-7,12,</w:t>
      </w:r>
      <w:r w:rsidR="00307C0B">
        <w:rPr>
          <w:rFonts w:ascii="Calibri" w:eastAsia="Calibri" w:hAnsi="Calibri" w:cs="Calibri"/>
        </w:rPr>
        <w:t>13</w:t>
      </w:r>
      <w:r w:rsidR="00FC0A04">
        <w:rPr>
          <w:rFonts w:ascii="Calibri" w:eastAsia="Calibri" w:hAnsi="Calibri" w:cs="Calibri"/>
        </w:rPr>
        <w:t>,28,</w:t>
      </w:r>
      <w:r w:rsidR="005D472B">
        <w:rPr>
          <w:rFonts w:ascii="Calibri" w:eastAsia="Calibri" w:hAnsi="Calibri" w:cs="Calibri"/>
        </w:rPr>
        <w:t>29</w:t>
      </w:r>
      <w:r w:rsidRPr="00581004">
        <w:rPr>
          <w:rFonts w:ascii="Calibri" w:eastAsia="Calibri" w:hAnsi="Calibri" w:cs="Calibri"/>
        </w:rPr>
        <w:t>). Also, the theory supports the use of splint, which has less potential side effects and is more convenient for children and parents. Splints are removable devices, so they have the same function as cast (immobilisation) and can be removed for showering and hygiene. Additionally, they are lighter and cheaper than casts and do not require follow up clinic for removal. However, argument can go against the use of splint. It has been shown that other types of fractures can be misdiagnosed as torus fractures, even by more experienced clinicians. In Davidson, et al. (2001), a greenstick type fracture was misdiagnosed as torus fracture and not noticed until three weeks follow up clinic</w:t>
      </w:r>
      <w:r w:rsidR="00B74251">
        <w:rPr>
          <w:rFonts w:ascii="Calibri" w:eastAsia="Calibri" w:hAnsi="Calibri" w:cs="Calibri"/>
        </w:rPr>
        <w:t xml:space="preserve"> (6)</w:t>
      </w:r>
      <w:r w:rsidRPr="00581004">
        <w:rPr>
          <w:rFonts w:ascii="Calibri" w:eastAsia="Calibri" w:hAnsi="Calibri" w:cs="Calibri"/>
        </w:rPr>
        <w:t xml:space="preserve">. This was </w:t>
      </w:r>
      <w:proofErr w:type="gramStart"/>
      <w:r w:rsidRPr="00581004">
        <w:rPr>
          <w:rFonts w:ascii="Calibri" w:eastAsia="Calibri" w:hAnsi="Calibri" w:cs="Calibri"/>
        </w:rPr>
        <w:t>despite the fact that</w:t>
      </w:r>
      <w:proofErr w:type="gramEnd"/>
      <w:r w:rsidRPr="00581004">
        <w:rPr>
          <w:rFonts w:ascii="Calibri" w:eastAsia="Calibri" w:hAnsi="Calibri" w:cs="Calibri"/>
        </w:rPr>
        <w:t xml:space="preserve"> the authors stated that the diagnosis of torus fracture was confirmed on the day the patients attended fracture clinic and recruited in the study by the treating physician; and in Williams, et al. (2013) study a transverse distal radius fracture with a distal ulnar buckle fracture was treated from emergency department with splint. The child was called next day to return for application of cast</w:t>
      </w:r>
      <w:r w:rsidR="005D472B">
        <w:rPr>
          <w:rFonts w:ascii="Calibri" w:eastAsia="Calibri" w:hAnsi="Calibri" w:cs="Calibri"/>
        </w:rPr>
        <w:t xml:space="preserve"> (28)</w:t>
      </w:r>
      <w:r w:rsidRPr="00581004">
        <w:rPr>
          <w:rFonts w:ascii="Calibri" w:eastAsia="Calibri" w:hAnsi="Calibri" w:cs="Calibri"/>
        </w:rPr>
        <w:t>. Also, in rare occasions, torus fractures are not always straight forward and can be associated with other injuries that require specific treatment and intervention. In a case report, Eren, et al. (2009) reported distal radioulnar joint sublaxation associated with torus fracture of distal radius in a one and half-year-old boy, which required manipulation and application in cast</w:t>
      </w:r>
      <w:r w:rsidR="00FC0A04">
        <w:rPr>
          <w:rFonts w:ascii="Calibri" w:eastAsia="Calibri" w:hAnsi="Calibri" w:cs="Calibri"/>
        </w:rPr>
        <w:t xml:space="preserve"> (31)</w:t>
      </w:r>
      <w:r w:rsidRPr="00581004">
        <w:rPr>
          <w:rFonts w:ascii="Calibri" w:eastAsia="Calibri" w:hAnsi="Calibri" w:cs="Calibri"/>
        </w:rPr>
        <w:t>. On the other hand, splints were previously studied in Colles fractures in adults (</w:t>
      </w:r>
      <w:r w:rsidR="00FC0A04">
        <w:rPr>
          <w:rFonts w:ascii="Calibri" w:eastAsia="Calibri" w:hAnsi="Calibri" w:cs="Calibri"/>
        </w:rPr>
        <w:t>32,33</w:t>
      </w:r>
      <w:r w:rsidRPr="00581004">
        <w:rPr>
          <w:rFonts w:ascii="Calibri" w:eastAsia="Calibri" w:hAnsi="Calibri" w:cs="Calibri"/>
        </w:rPr>
        <w:t>) and children with minimally angulated distal radius fractures (</w:t>
      </w:r>
      <w:r w:rsidR="00FC0A04">
        <w:rPr>
          <w:rFonts w:ascii="Calibri" w:eastAsia="Calibri" w:hAnsi="Calibri" w:cs="Calibri"/>
        </w:rPr>
        <w:t>34</w:t>
      </w:r>
      <w:r w:rsidRPr="00581004">
        <w:rPr>
          <w:rFonts w:ascii="Calibri" w:eastAsia="Calibri" w:hAnsi="Calibri" w:cs="Calibri"/>
        </w:rPr>
        <w:t xml:space="preserve">) with promising results on the use of splints in these injuries. Torus fractures are more </w:t>
      </w:r>
      <w:proofErr w:type="gramStart"/>
      <w:r w:rsidRPr="00581004">
        <w:rPr>
          <w:rFonts w:ascii="Calibri" w:eastAsia="Calibri" w:hAnsi="Calibri" w:cs="Calibri"/>
        </w:rPr>
        <w:t>stable</w:t>
      </w:r>
      <w:proofErr w:type="gramEnd"/>
      <w:r w:rsidRPr="00581004">
        <w:rPr>
          <w:rFonts w:ascii="Calibri" w:eastAsia="Calibri" w:hAnsi="Calibri" w:cs="Calibri"/>
        </w:rPr>
        <w:t xml:space="preserve"> and splints are more likely to be safer in their treatment. </w:t>
      </w:r>
    </w:p>
    <w:p w14:paraId="431A9504" w14:textId="36DBF9EA" w:rsidR="00B22921" w:rsidRPr="00AF6E96" w:rsidRDefault="00B22921" w:rsidP="00AF6E96">
      <w:pPr>
        <w:rPr>
          <w:rFonts w:ascii="Calibri" w:eastAsia="Calibri" w:hAnsi="Calibri" w:cs="Calibri"/>
        </w:rPr>
      </w:pPr>
      <w:r w:rsidRPr="00581004">
        <w:rPr>
          <w:rFonts w:ascii="Calibri" w:eastAsia="Calibri" w:hAnsi="Calibri" w:cs="Calibri"/>
        </w:rPr>
        <w:t>The evidence remains scarce and a robust and well-conducted RTC is required to answer these questions. However, given the stable nature of torus fractures, it might be safer to use splints as a method of immobilisation and support with a tight safety net to ensure misdiagnosed fractures are treated appropriately, appropriate training of clinicians treating these injuries and involvement of parents in the decision, explaining both options to give them the choice. This helps patients by using a removable and more convenient device, the health system in the current economic environment by reducing follow up clinics and the community by reducing child absence from school and parents from work for clinic attendance.</w:t>
      </w:r>
    </w:p>
    <w:p w14:paraId="0E165221" w14:textId="77777777" w:rsidR="00B22921" w:rsidRPr="00581004" w:rsidRDefault="00B22921" w:rsidP="00AF6E96">
      <w:pPr>
        <w:rPr>
          <w:rFonts w:eastAsia="Times New Roman"/>
          <w:lang w:val="en-US"/>
        </w:rPr>
      </w:pPr>
      <w:bookmarkStart w:id="37" w:name="_Toc396767032"/>
      <w:r w:rsidRPr="00581004">
        <w:rPr>
          <w:rFonts w:eastAsia="Times New Roman"/>
          <w:lang w:val="en-US"/>
        </w:rPr>
        <w:t>Cost-effectiveness:</w:t>
      </w:r>
      <w:bookmarkEnd w:id="37"/>
    </w:p>
    <w:p w14:paraId="0959632E" w14:textId="5B0A0158" w:rsidR="00B22921" w:rsidRPr="000D4B17" w:rsidRDefault="00B22921" w:rsidP="00AF6E96">
      <w:pPr>
        <w:rPr>
          <w:rFonts w:ascii="Calibri" w:eastAsia="Calibri" w:hAnsi="Calibri" w:cs="Calibri"/>
        </w:rPr>
      </w:pPr>
      <w:r w:rsidRPr="00581004">
        <w:rPr>
          <w:rFonts w:ascii="Calibri" w:eastAsia="Calibri" w:hAnsi="Calibri" w:cs="Calibri"/>
        </w:rPr>
        <w:t xml:space="preserve">The concept of using splints compared to casts in treating distal radius torus fractures in children might be superior when cost and use of resources are considered. Splints are cheaper, easier and quicker to apply and do not require follow up clinics for removal. Also, they do not need the child to take time off from school and parent(s) time off from work to attend the follow up clinic. These incur social and economic cost, such as cost of hospital transport when required, absences and sickness from work and school, as well as personal costs like travel and car parks. However, a good evidence-based practice to support this theory is lacking in the current literature. This systematics review </w:t>
      </w:r>
      <w:r w:rsidRPr="00581004">
        <w:rPr>
          <w:rFonts w:ascii="Calibri" w:eastAsia="Calibri" w:hAnsi="Calibri" w:cs="Calibri"/>
        </w:rPr>
        <w:lastRenderedPageBreak/>
        <w:t>found three papers discussed cost and use of resources in splint versus cast in distal radius torus fracture (</w:t>
      </w:r>
      <w:r w:rsidR="00D70A6F">
        <w:rPr>
          <w:rFonts w:ascii="Calibri" w:eastAsia="Calibri" w:hAnsi="Calibri" w:cs="Calibri"/>
        </w:rPr>
        <w:t>6</w:t>
      </w:r>
      <w:r w:rsidR="00FC0A04">
        <w:rPr>
          <w:rFonts w:ascii="Calibri" w:eastAsia="Calibri" w:hAnsi="Calibri" w:cs="Calibri"/>
        </w:rPr>
        <w:t>,28,</w:t>
      </w:r>
      <w:r w:rsidR="005D472B">
        <w:rPr>
          <w:rFonts w:ascii="Calibri" w:eastAsia="Calibri" w:hAnsi="Calibri" w:cs="Calibri"/>
        </w:rPr>
        <w:t>29</w:t>
      </w:r>
      <w:r w:rsidRPr="00581004">
        <w:rPr>
          <w:rFonts w:ascii="Calibri" w:eastAsia="Calibri" w:hAnsi="Calibri" w:cs="Calibri"/>
        </w:rPr>
        <w:t>) and in one study (</w:t>
      </w:r>
      <w:r w:rsidR="005D472B">
        <w:rPr>
          <w:rFonts w:ascii="Calibri" w:eastAsia="Calibri" w:hAnsi="Calibri" w:cs="Calibri"/>
        </w:rPr>
        <w:t>29</w:t>
      </w:r>
      <w:r w:rsidRPr="00581004">
        <w:rPr>
          <w:rFonts w:ascii="Calibri" w:eastAsia="Calibri" w:hAnsi="Calibri" w:cs="Calibri"/>
        </w:rPr>
        <w:t>) no detailed figures were given apart from the final estimated saving per case in splint group. Williams, et al. (2013) also presented limited information and considered resources utilisation rather that cost. The authors found that use of splints required less utilisation of resources than using casts</w:t>
      </w:r>
      <w:r w:rsidR="005D472B">
        <w:rPr>
          <w:rFonts w:ascii="Calibri" w:eastAsia="Calibri" w:hAnsi="Calibri" w:cs="Calibri"/>
        </w:rPr>
        <w:t xml:space="preserve"> (28)</w:t>
      </w:r>
      <w:r w:rsidRPr="00581004">
        <w:rPr>
          <w:rFonts w:ascii="Calibri" w:eastAsia="Calibri" w:hAnsi="Calibri" w:cs="Calibri"/>
        </w:rPr>
        <w:t>. The findings in Davidson, et al. (2001) were also in favour of splints, with a significant cost saving</w:t>
      </w:r>
      <w:r w:rsidR="00B74251">
        <w:rPr>
          <w:rFonts w:ascii="Calibri" w:eastAsia="Calibri" w:hAnsi="Calibri" w:cs="Calibri"/>
        </w:rPr>
        <w:t xml:space="preserve"> (6)</w:t>
      </w:r>
      <w:r w:rsidRPr="00581004">
        <w:rPr>
          <w:rFonts w:ascii="Calibri" w:eastAsia="Calibri" w:hAnsi="Calibri" w:cs="Calibri"/>
        </w:rPr>
        <w:t xml:space="preserve">. The authors only included cost of treatment (Table </w:t>
      </w:r>
      <w:r w:rsidR="00AF6E96">
        <w:rPr>
          <w:rFonts w:ascii="Calibri" w:eastAsia="Calibri" w:hAnsi="Calibri" w:cs="Calibri"/>
        </w:rPr>
        <w:t>4</w:t>
      </w:r>
      <w:r w:rsidRPr="00581004">
        <w:rPr>
          <w:rFonts w:ascii="Calibri" w:eastAsia="Calibri" w:hAnsi="Calibri" w:cs="Calibri"/>
        </w:rPr>
        <w:t>).</w:t>
      </w:r>
      <w:r>
        <w:rPr>
          <w:rFonts w:ascii="Calibri" w:eastAsia="Calibri" w:hAnsi="Calibri" w:cs="Calibri"/>
        </w:rPr>
        <w:t xml:space="preserve"> </w:t>
      </w:r>
      <w:r w:rsidRPr="00581004">
        <w:rPr>
          <w:rFonts w:ascii="Calibri" w:eastAsia="Calibri" w:hAnsi="Calibri" w:cs="Calibri"/>
        </w:rPr>
        <w:t xml:space="preserve">However, it is more likely a further saving (in favour of splints) would have been found in cost related to child and parent absence from school and work. There are, however, several concerns and questions about the conduct of this study, as previously discussed. The impact of these on the cost analysis is not clear. </w:t>
      </w:r>
    </w:p>
    <w:p w14:paraId="453E8F1D" w14:textId="186EB8C6" w:rsidR="00B22921" w:rsidRPr="000D4B17" w:rsidRDefault="00B22921" w:rsidP="00AF6E96">
      <w:pPr>
        <w:rPr>
          <w:rFonts w:ascii="Calibri" w:eastAsia="Calibri" w:hAnsi="Calibri" w:cs="Calibri"/>
        </w:rPr>
      </w:pPr>
      <w:r w:rsidRPr="00581004">
        <w:rPr>
          <w:rFonts w:ascii="Calibri" w:eastAsia="Calibri" w:hAnsi="Calibri" w:cs="Calibri"/>
        </w:rPr>
        <w:t xml:space="preserve">In another study, on children with acceptably angulated wrist fractures, </w:t>
      </w:r>
      <w:r w:rsidR="00DE71A9">
        <w:rPr>
          <w:rFonts w:ascii="Calibri" w:eastAsia="Calibri" w:hAnsi="Calibri" w:cs="Calibri"/>
        </w:rPr>
        <w:t xml:space="preserve">von </w:t>
      </w:r>
      <w:r w:rsidRPr="00581004">
        <w:rPr>
          <w:rFonts w:ascii="Calibri" w:eastAsia="Calibri" w:hAnsi="Calibri" w:cs="Calibri"/>
        </w:rPr>
        <w:t>Keyserlingk, et al. (20</w:t>
      </w:r>
      <w:r w:rsidR="00DE71A9">
        <w:rPr>
          <w:rFonts w:ascii="Calibri" w:eastAsia="Calibri" w:hAnsi="Calibri" w:cs="Calibri"/>
        </w:rPr>
        <w:t>1</w:t>
      </w:r>
      <w:r w:rsidRPr="00581004">
        <w:rPr>
          <w:rFonts w:ascii="Calibri" w:eastAsia="Calibri" w:hAnsi="Calibri" w:cs="Calibri"/>
        </w:rPr>
        <w:t xml:space="preserve">1) performed detailed analysis of cost-effectiveness of casts versus splint. In a single site blinded randomised control trial, the authors studied casts and splints in management of skeletally immature children who presented to emergency department of the Hospital of Sick Children (Ontario, Canada) with minimally displaced (complete or greenstick) wrists fractures. Age group included was 5 to 12 years old. 100 patients were enrolled between April 2007 and September 2009. After removing those who were subsequently excluded for diagnostic errors and loss to follow up, data of 92 patients with mean age of 9.3 years were analysed. Patients in both groups were immobilised for four weeks and attended follow up fracture clinic at one and four weeks of the study, where clinical assessment was carried out and parents completed a clinical and expenses diary. At six weeks following the injury, parents completed ASKp questionnaire, range of movement and strength of the injured wrist were </w:t>
      </w:r>
      <w:proofErr w:type="gramStart"/>
      <w:r w:rsidRPr="00581004">
        <w:rPr>
          <w:rFonts w:ascii="Calibri" w:eastAsia="Calibri" w:hAnsi="Calibri" w:cs="Calibri"/>
        </w:rPr>
        <w:t>measured</w:t>
      </w:r>
      <w:proofErr w:type="gramEnd"/>
      <w:r w:rsidRPr="00581004">
        <w:rPr>
          <w:rFonts w:ascii="Calibri" w:eastAsia="Calibri" w:hAnsi="Calibri" w:cs="Calibri"/>
        </w:rPr>
        <w:t xml:space="preserve"> and parents again completed a clinical and expenses diary. The diary included questions on health care use and other paid resources related to the injury. The recorded resources included health visits, tests, procedures and surgeries, medications, time off school and/or work, unpaid work and any child care or transport. The authors looked at costs from a social perspective and included healthcare expenses, family resources and any productive costs incurred due to the treatment and up to six weeks post-injury. The source of cost was supplied by provincial statistical reports and local administrative data sources and was assessed for 2009. Where costs were not available for 2009, the authors look at values for other years and used the Canadian Consumer Price Index for Health and Personal Care to calculate the inflation. Mean ASKp score was estimated at week six. The authors used a gamma model to estimate means and standard errors (SE) for the cost and analyse the data using SAS Version 9.1 (Statistical Analysis Ayatem, Cary, NC). They found that mean total cost cast in cast group was $950.35 and $877.58 in splint group, with a mean difference of $72.76 (SE 45.88). For healthcare cost, the mean cost was $768.22 in cast group and $670.66 in splint group, with a mean difference of $97.56 (SE 9.24). They also found that mean ASKp score was 91.4 in the cast group compared to 92.8 in the splint group. They concluded that using splint in managing these injuries was cheaper and more effective</w:t>
      </w:r>
      <w:r w:rsidR="00DE71A9">
        <w:rPr>
          <w:rFonts w:ascii="Calibri" w:eastAsia="Calibri" w:hAnsi="Calibri" w:cs="Calibri"/>
        </w:rPr>
        <w:t xml:space="preserve"> (35)</w:t>
      </w:r>
      <w:r w:rsidRPr="00581004">
        <w:rPr>
          <w:rFonts w:ascii="Calibri" w:eastAsia="Calibri" w:hAnsi="Calibri" w:cs="Calibri"/>
        </w:rPr>
        <w:t>.</w:t>
      </w:r>
    </w:p>
    <w:p w14:paraId="0C05163E" w14:textId="77777777" w:rsidR="00B22921" w:rsidRPr="000D4B17" w:rsidRDefault="00B22921" w:rsidP="00AF6E96">
      <w:pPr>
        <w:rPr>
          <w:rFonts w:ascii="Calibri" w:eastAsia="Calibri" w:hAnsi="Calibri" w:cs="Calibri"/>
        </w:rPr>
      </w:pPr>
      <w:r w:rsidRPr="00581004">
        <w:rPr>
          <w:rFonts w:ascii="Calibri" w:eastAsia="Calibri" w:hAnsi="Calibri" w:cs="Calibri"/>
        </w:rPr>
        <w:t xml:space="preserve">Although this study was done on minimally angulated greenstick and complete fractures, if the same concept is applied on torus fractures it is highly likely that similar savings can be achieved. The fact that greenstick and complete fractures are less stable than torus fractures supports the safety of splint use in the latter as there were no clinical concerns in this study. However, the use of provincial statistical reports and the local administrative data sources of Ontario to source the costs limit the generalisability of findings, as cost varies between different countries and the results cannot serve as reference for funding decisions across different health care programmes. </w:t>
      </w:r>
    </w:p>
    <w:p w14:paraId="3A32FFAC" w14:textId="77777777" w:rsidR="00B22921" w:rsidRPr="00581004" w:rsidRDefault="00B22921" w:rsidP="00AF6E96">
      <w:pPr>
        <w:rPr>
          <w:rFonts w:eastAsia="Times New Roman"/>
          <w:lang w:val="en-US"/>
        </w:rPr>
      </w:pPr>
      <w:bookmarkStart w:id="38" w:name="_Toc396767033"/>
      <w:r w:rsidRPr="00581004">
        <w:rPr>
          <w:rFonts w:eastAsia="Times New Roman"/>
          <w:lang w:val="en-US"/>
        </w:rPr>
        <w:lastRenderedPageBreak/>
        <w:t>Limitation of the systematic review:</w:t>
      </w:r>
      <w:bookmarkEnd w:id="38"/>
    </w:p>
    <w:p w14:paraId="51873756" w14:textId="128344EF" w:rsidR="00B22921" w:rsidRPr="000D4B17" w:rsidRDefault="00B22921" w:rsidP="00AF6E96">
      <w:pPr>
        <w:rPr>
          <w:rFonts w:ascii="Calibri" w:eastAsia="Calibri" w:hAnsi="Calibri" w:cs="Calibri"/>
        </w:rPr>
      </w:pPr>
      <w:r w:rsidRPr="00581004">
        <w:rPr>
          <w:rFonts w:ascii="Calibri" w:eastAsia="Calibri" w:hAnsi="Calibri" w:cs="Calibri"/>
        </w:rPr>
        <w:t>There is some gap between the ideal evidence-based medicine and the real world of daily practice. Personal experience and opinions are difficult not to influence clinicians’ practice, especially in a field where the evidence is very limited. Systematic reviews are limited by the limitations of the included studies, and have been criticised for emphasising on the validity of the studies without considering the applicability of the information provided by them (</w:t>
      </w:r>
      <w:r w:rsidR="00DE71A9">
        <w:rPr>
          <w:rFonts w:ascii="Calibri" w:eastAsia="Calibri" w:hAnsi="Calibri" w:cs="Calibri"/>
        </w:rPr>
        <w:t>36</w:t>
      </w:r>
      <w:r w:rsidRPr="00581004">
        <w:rPr>
          <w:rFonts w:ascii="Calibri" w:eastAsia="Calibri" w:hAnsi="Calibri" w:cs="Calibri"/>
        </w:rPr>
        <w:t xml:space="preserve">). </w:t>
      </w:r>
    </w:p>
    <w:p w14:paraId="4B62AD84" w14:textId="77777777" w:rsidR="00B22921" w:rsidRPr="00581004" w:rsidRDefault="00B22921" w:rsidP="00AF6E96">
      <w:pPr>
        <w:rPr>
          <w:rFonts w:ascii="Calibri" w:eastAsia="Calibri" w:hAnsi="Calibri" w:cs="Calibri"/>
        </w:rPr>
      </w:pPr>
      <w:r w:rsidRPr="00581004">
        <w:rPr>
          <w:rFonts w:ascii="Calibri" w:eastAsia="Calibri" w:hAnsi="Calibri" w:cs="Calibri"/>
        </w:rPr>
        <w:t xml:space="preserve">Torus fractures of distal radius in children, although common, remain one of the most controversial injuries in their treatment and have been influenced considerably by individual expertise and preferences. This systematic review has found limited number of studies addressing the question of the review. The validity of these studies is </w:t>
      </w:r>
      <w:proofErr w:type="gramStart"/>
      <w:r w:rsidRPr="00581004">
        <w:rPr>
          <w:rFonts w:ascii="Calibri" w:eastAsia="Calibri" w:hAnsi="Calibri" w:cs="Calibri"/>
        </w:rPr>
        <w:t>questionable</w:t>
      </w:r>
      <w:proofErr w:type="gramEnd"/>
      <w:r w:rsidRPr="00581004">
        <w:rPr>
          <w:rFonts w:ascii="Calibri" w:eastAsia="Calibri" w:hAnsi="Calibri" w:cs="Calibri"/>
        </w:rPr>
        <w:t xml:space="preserve"> and the results cannot be generalised. The overall findings of this review could be scrutinised based on the validity of the included studies. Additionally, the data could not form a meta-analysis for lack of quality and heterogeneity. However, this review has discussed strengths and weaknesses of these studies and drawn its findings based on the limited available evidence in the literature. It has highlighted the gap in the literature and it is hoped that a well-designed and conducted RTC on the subject will be undertaken to answer these gaps in this important subject.</w:t>
      </w:r>
      <w:r>
        <w:rPr>
          <w:rFonts w:ascii="Calibri" w:eastAsia="Calibri" w:hAnsi="Calibri" w:cs="Calibri"/>
        </w:rPr>
        <w:t xml:space="preserve"> </w:t>
      </w:r>
    </w:p>
    <w:p w14:paraId="53320F6B" w14:textId="77777777" w:rsidR="00B22921" w:rsidRPr="0005312C" w:rsidRDefault="00B22921" w:rsidP="00AF6E96">
      <w:pPr>
        <w:rPr>
          <w:b/>
          <w:bCs/>
          <w:lang w:val="en-US"/>
        </w:rPr>
      </w:pPr>
      <w:bookmarkStart w:id="39" w:name="_Toc396767034"/>
      <w:r w:rsidRPr="0005312C">
        <w:rPr>
          <w:b/>
          <w:bCs/>
          <w:lang w:val="en-US"/>
        </w:rPr>
        <w:t>Conclusion</w:t>
      </w:r>
      <w:bookmarkEnd w:id="39"/>
    </w:p>
    <w:p w14:paraId="39E5D282" w14:textId="77777777" w:rsidR="00B22921" w:rsidRPr="000D4B17" w:rsidRDefault="00B22921" w:rsidP="00AF6E96">
      <w:pPr>
        <w:rPr>
          <w:rFonts w:ascii="Calibri" w:eastAsia="Calibri" w:hAnsi="Calibri" w:cs="Calibri"/>
        </w:rPr>
      </w:pPr>
      <w:r w:rsidRPr="00581004">
        <w:rPr>
          <w:rFonts w:ascii="Calibri" w:eastAsia="Calibri" w:hAnsi="Calibri" w:cs="Calibri"/>
        </w:rPr>
        <w:t xml:space="preserve">Although considered simple and straightforward injuries, torus fractures of distal radius management </w:t>
      </w:r>
      <w:proofErr w:type="gramStart"/>
      <w:r w:rsidRPr="00581004">
        <w:rPr>
          <w:rFonts w:ascii="Calibri" w:eastAsia="Calibri" w:hAnsi="Calibri" w:cs="Calibri"/>
        </w:rPr>
        <w:t>remains</w:t>
      </w:r>
      <w:proofErr w:type="gramEnd"/>
      <w:r w:rsidRPr="00581004">
        <w:rPr>
          <w:rFonts w:ascii="Calibri" w:eastAsia="Calibri" w:hAnsi="Calibri" w:cs="Calibri"/>
        </w:rPr>
        <w:t xml:space="preserve"> a controversial issue and varies considerably in practice. The evidence found in this systematic review is limited in its quantity and quality. The limited available data favours the use of splints as a safe, convenient and cheap alternative. However, no concluding data are found to support this. No data are found to favour the use of cast, either. We conclude that it might be wise to involve the child and parents in the decision-making and apply a stringent safety net when splints are applied from emergency department and no further fracture clinic is given, such as supplying open access to the clinic should any problem arises and ensuring all radiographs are reviewed by experienced paediatric orthopaedic surgeons or radiologists.</w:t>
      </w:r>
    </w:p>
    <w:p w14:paraId="40C9A669" w14:textId="77777777" w:rsidR="00B22921" w:rsidRPr="000D4B17" w:rsidRDefault="00B22921" w:rsidP="0005312C">
      <w:pPr>
        <w:rPr>
          <w:rFonts w:ascii="Calibri" w:eastAsia="Calibri" w:hAnsi="Calibri" w:cs="Calibri"/>
        </w:rPr>
      </w:pPr>
      <w:r w:rsidRPr="00581004">
        <w:rPr>
          <w:rFonts w:ascii="Calibri" w:eastAsia="Calibri" w:hAnsi="Calibri" w:cs="Calibri"/>
        </w:rPr>
        <w:t>Based on this, we recommend that the nature of the injury and options for treatment are explained in detail to the injured children and their parents, giving them the choice and involving them in the decision. We stress applying a safety net system to avoid any misdiagnosed or maltreated fractures. We also recommend implementing a clinical governance programme to monitor and audit the practice and whether it can be carried on safely or discontinued with return to the traditional management.</w:t>
      </w:r>
    </w:p>
    <w:p w14:paraId="1301D42D" w14:textId="77777777" w:rsidR="00B22921" w:rsidRDefault="00B22921" w:rsidP="00AF6E96"/>
    <w:p w14:paraId="0E885094" w14:textId="77777777" w:rsidR="00B22921" w:rsidRDefault="00B22921" w:rsidP="00AF6E96">
      <w:pPr>
        <w:rPr>
          <w:rFonts w:eastAsia="Times New Roman" w:cs="Calibri"/>
          <w:b/>
          <w:smallCaps/>
          <w:color w:val="1F497D"/>
          <w:sz w:val="28"/>
          <w:szCs w:val="28"/>
        </w:rPr>
      </w:pPr>
      <w:r>
        <w:rPr>
          <w:rFonts w:eastAsia="Times New Roman" w:cs="Calibri"/>
          <w:b/>
          <w:smallCaps/>
          <w:color w:val="1F497D"/>
          <w:sz w:val="28"/>
          <w:szCs w:val="28"/>
        </w:rPr>
        <w:br w:type="page"/>
      </w:r>
    </w:p>
    <w:p w14:paraId="7A3109B6" w14:textId="300F5BBA" w:rsidR="00F87E62" w:rsidRPr="00AF6E96" w:rsidRDefault="00F87E62" w:rsidP="00AF6E96">
      <w:pPr>
        <w:rPr>
          <w:lang w:val="en-US"/>
        </w:rPr>
      </w:pPr>
      <w:bookmarkStart w:id="40" w:name="_Toc396767035"/>
      <w:r w:rsidRPr="00460328">
        <w:rPr>
          <w:lang w:val="en-US"/>
        </w:rPr>
        <w:lastRenderedPageBreak/>
        <w:t>References</w:t>
      </w:r>
      <w:bookmarkEnd w:id="40"/>
    </w:p>
    <w:p w14:paraId="0D08FB96" w14:textId="77777777" w:rsidR="00DE71A9" w:rsidRPr="00D70A6F" w:rsidRDefault="00DE71A9" w:rsidP="00DE71A9">
      <w:pPr>
        <w:rPr>
          <w:rFonts w:cstheme="minorHAnsi"/>
        </w:rPr>
      </w:pPr>
      <w:r>
        <w:rPr>
          <w:rFonts w:cstheme="minorHAnsi"/>
        </w:rPr>
        <w:t xml:space="preserve">1. </w:t>
      </w:r>
      <w:r w:rsidRPr="00D70A6F">
        <w:rPr>
          <w:rFonts w:cstheme="minorHAnsi"/>
        </w:rPr>
        <w:t xml:space="preserve">Boyer, B.A., Overton, B., Schrader, W., Riley, P., Fleissner, P., 2002. Position of mmobilisation for paediatric forearm fractures. </w:t>
      </w:r>
      <w:r w:rsidRPr="00D70A6F">
        <w:rPr>
          <w:rFonts w:cstheme="minorHAnsi"/>
          <w:i/>
          <w:iCs/>
        </w:rPr>
        <w:t>Journal of Pediatric Orthopaedics</w:t>
      </w:r>
      <w:r w:rsidRPr="00D70A6F">
        <w:rPr>
          <w:rFonts w:cstheme="minorHAnsi"/>
        </w:rPr>
        <w:t xml:space="preserve">, </w:t>
      </w:r>
      <w:proofErr w:type="gramStart"/>
      <w:r w:rsidRPr="00D70A6F">
        <w:rPr>
          <w:rFonts w:cstheme="minorHAnsi"/>
        </w:rPr>
        <w:t>22:pp.</w:t>
      </w:r>
      <w:proofErr w:type="gramEnd"/>
      <w:r w:rsidRPr="00D70A6F">
        <w:rPr>
          <w:rFonts w:cstheme="minorHAnsi"/>
        </w:rPr>
        <w:t>185–187</w:t>
      </w:r>
    </w:p>
    <w:p w14:paraId="57132E67" w14:textId="77777777" w:rsidR="00DE71A9" w:rsidRPr="00D70A6F" w:rsidRDefault="00DE71A9" w:rsidP="00DE71A9">
      <w:pPr>
        <w:rPr>
          <w:rFonts w:cstheme="minorHAnsi"/>
        </w:rPr>
      </w:pPr>
      <w:r>
        <w:rPr>
          <w:rFonts w:cstheme="minorHAnsi"/>
        </w:rPr>
        <w:t xml:space="preserve">2. </w:t>
      </w:r>
      <w:r w:rsidRPr="00D70A6F">
        <w:rPr>
          <w:rFonts w:cstheme="minorHAnsi"/>
        </w:rPr>
        <w:t xml:space="preserve">Della-Giustina, D.A., Della-Giustina, K., 1999. Orthopaedic injuries: emergency department evaluation and treatment of pediatric orthopaedic injuries. </w:t>
      </w:r>
      <w:r w:rsidRPr="00D70A6F">
        <w:rPr>
          <w:rFonts w:cstheme="minorHAnsi"/>
          <w:i/>
          <w:iCs/>
        </w:rPr>
        <w:t>Emergency Medicine Clinics of North America</w:t>
      </w:r>
      <w:r w:rsidRPr="00D70A6F">
        <w:rPr>
          <w:rFonts w:cstheme="minorHAnsi"/>
        </w:rPr>
        <w:t>, 17(4</w:t>
      </w:r>
      <w:proofErr w:type="gramStart"/>
      <w:r w:rsidRPr="00D70A6F">
        <w:rPr>
          <w:rFonts w:cstheme="minorHAnsi"/>
        </w:rPr>
        <w:t>):pp.</w:t>
      </w:r>
      <w:proofErr w:type="gramEnd"/>
      <w:r w:rsidRPr="00D70A6F">
        <w:rPr>
          <w:rFonts w:cstheme="minorHAnsi"/>
        </w:rPr>
        <w:t>895-922.</w:t>
      </w:r>
    </w:p>
    <w:p w14:paraId="7B0E7AB3" w14:textId="77777777" w:rsidR="00DE71A9" w:rsidRPr="00D70A6F" w:rsidRDefault="00DE71A9" w:rsidP="00DE71A9">
      <w:pPr>
        <w:rPr>
          <w:rFonts w:cstheme="minorHAnsi"/>
        </w:rPr>
      </w:pPr>
      <w:r>
        <w:rPr>
          <w:rFonts w:cstheme="minorHAnsi"/>
        </w:rPr>
        <w:t xml:space="preserve">3. </w:t>
      </w:r>
      <w:r w:rsidRPr="00D70A6F">
        <w:rPr>
          <w:rFonts w:cstheme="minorHAnsi"/>
        </w:rPr>
        <w:t xml:space="preserve">Solan, M.C., Rees, R., Daly, K., 2002. Current management of torus fractures of the distal radius. </w:t>
      </w:r>
      <w:r w:rsidRPr="00D70A6F">
        <w:rPr>
          <w:rFonts w:cstheme="minorHAnsi"/>
          <w:i/>
          <w:iCs/>
        </w:rPr>
        <w:t>Injury</w:t>
      </w:r>
      <w:r w:rsidRPr="00D70A6F">
        <w:rPr>
          <w:rFonts w:cstheme="minorHAnsi"/>
        </w:rPr>
        <w:t>, 33(6</w:t>
      </w:r>
      <w:proofErr w:type="gramStart"/>
      <w:r w:rsidRPr="00D70A6F">
        <w:rPr>
          <w:rFonts w:cstheme="minorHAnsi"/>
        </w:rPr>
        <w:t>):pp.</w:t>
      </w:r>
      <w:proofErr w:type="gramEnd"/>
      <w:r w:rsidRPr="00D70A6F">
        <w:rPr>
          <w:rFonts w:cstheme="minorHAnsi"/>
        </w:rPr>
        <w:t>503-505.</w:t>
      </w:r>
    </w:p>
    <w:p w14:paraId="75862FA4" w14:textId="77777777" w:rsidR="00DE71A9" w:rsidRPr="00D70A6F" w:rsidRDefault="00DE71A9" w:rsidP="00DE71A9">
      <w:pPr>
        <w:rPr>
          <w:rFonts w:cstheme="minorHAnsi"/>
        </w:rPr>
      </w:pPr>
      <w:r w:rsidRPr="00D70A6F">
        <w:rPr>
          <w:rFonts w:cstheme="minorHAnsi"/>
        </w:rPr>
        <w:t>4.</w:t>
      </w:r>
      <w:r>
        <w:rPr>
          <w:rFonts w:cstheme="minorHAnsi"/>
        </w:rPr>
        <w:t xml:space="preserve"> </w:t>
      </w:r>
      <w:r w:rsidRPr="00D70A6F">
        <w:rPr>
          <w:rFonts w:cstheme="minorHAnsi"/>
        </w:rPr>
        <w:t xml:space="preserve">Plint, A.C., Perry, J.J., Tsang, J.L., 2004. Pediatric wrist buckle fractures: Should we just splint and </w:t>
      </w:r>
      <w:proofErr w:type="gramStart"/>
      <w:r w:rsidRPr="00D70A6F">
        <w:rPr>
          <w:rFonts w:cstheme="minorHAnsi"/>
        </w:rPr>
        <w:t>go?.</w:t>
      </w:r>
      <w:proofErr w:type="gramEnd"/>
      <w:r w:rsidRPr="00D70A6F">
        <w:rPr>
          <w:rFonts w:cstheme="minorHAnsi"/>
        </w:rPr>
        <w:t xml:space="preserve"> </w:t>
      </w:r>
      <w:r w:rsidRPr="00D70A6F">
        <w:rPr>
          <w:rFonts w:cstheme="minorHAnsi"/>
          <w:i/>
          <w:iCs/>
        </w:rPr>
        <w:t>Canadian Association of Emergency Physicians</w:t>
      </w:r>
      <w:r w:rsidRPr="00D70A6F">
        <w:rPr>
          <w:rFonts w:cstheme="minorHAnsi"/>
        </w:rPr>
        <w:t>, 6(6</w:t>
      </w:r>
      <w:proofErr w:type="gramStart"/>
      <w:r w:rsidRPr="00D70A6F">
        <w:rPr>
          <w:rFonts w:cstheme="minorHAnsi"/>
        </w:rPr>
        <w:t>):pp.</w:t>
      </w:r>
      <w:proofErr w:type="gramEnd"/>
      <w:r w:rsidRPr="00D70A6F">
        <w:rPr>
          <w:rFonts w:cstheme="minorHAnsi"/>
        </w:rPr>
        <w:t>397-401.</w:t>
      </w:r>
    </w:p>
    <w:p w14:paraId="15E80CF9" w14:textId="77777777" w:rsidR="00DE71A9" w:rsidRPr="00DC3316" w:rsidRDefault="00DE71A9" w:rsidP="00DE71A9">
      <w:r>
        <w:t xml:space="preserve">5. </w:t>
      </w:r>
      <w:r w:rsidRPr="00DC3316">
        <w:t xml:space="preserve">Firmin, F., Crouch, R., 2009. Splinting versus casting of "torus" fractures to the distal radius in the paediatric patient presenting at the emergency department (ED): a literature review. </w:t>
      </w:r>
      <w:r w:rsidRPr="00DC3316">
        <w:rPr>
          <w:i/>
          <w:iCs/>
        </w:rPr>
        <w:t>International emergency nursing</w:t>
      </w:r>
      <w:r w:rsidRPr="00DC3316">
        <w:t>, 17(3</w:t>
      </w:r>
      <w:proofErr w:type="gramStart"/>
      <w:r w:rsidRPr="00DC3316">
        <w:t>):pp.</w:t>
      </w:r>
      <w:proofErr w:type="gramEnd"/>
      <w:r w:rsidRPr="00DC3316">
        <w:t>173-178.</w:t>
      </w:r>
    </w:p>
    <w:p w14:paraId="024660FC" w14:textId="77777777" w:rsidR="00DE71A9" w:rsidRPr="00E07C42" w:rsidRDefault="00DE71A9" w:rsidP="00DE71A9">
      <w:pPr>
        <w:rPr>
          <w:rFonts w:cstheme="minorHAnsi"/>
        </w:rPr>
      </w:pPr>
      <w:r>
        <w:rPr>
          <w:rFonts w:cstheme="minorHAnsi"/>
        </w:rPr>
        <w:t xml:space="preserve">6. </w:t>
      </w:r>
      <w:r w:rsidRPr="00E07C42">
        <w:rPr>
          <w:rFonts w:cstheme="minorHAnsi"/>
        </w:rPr>
        <w:t xml:space="preserve">Davidson, J.S., Brown, D.J., Barnes, S.N., Bruce, C.E., 2001. Simple treatment for torus fractures of the distal radius. </w:t>
      </w:r>
      <w:r w:rsidRPr="00E07C42">
        <w:rPr>
          <w:rFonts w:cstheme="minorHAnsi"/>
          <w:i/>
          <w:iCs/>
        </w:rPr>
        <w:t>The Journal of bone and joint surgery. British volume</w:t>
      </w:r>
      <w:r w:rsidRPr="00E07C42">
        <w:rPr>
          <w:rFonts w:cstheme="minorHAnsi"/>
        </w:rPr>
        <w:t>, 83(8</w:t>
      </w:r>
      <w:proofErr w:type="gramStart"/>
      <w:r w:rsidRPr="00E07C42">
        <w:rPr>
          <w:rFonts w:cstheme="minorHAnsi"/>
        </w:rPr>
        <w:t>):pp.</w:t>
      </w:r>
      <w:proofErr w:type="gramEnd"/>
      <w:r w:rsidRPr="00E07C42">
        <w:rPr>
          <w:rFonts w:cstheme="minorHAnsi"/>
        </w:rPr>
        <w:t>1173-1175.</w:t>
      </w:r>
    </w:p>
    <w:p w14:paraId="6D15571A" w14:textId="77777777" w:rsidR="00DE71A9" w:rsidRPr="00E07C42" w:rsidRDefault="00DE71A9" w:rsidP="00DE71A9">
      <w:pPr>
        <w:rPr>
          <w:rFonts w:cstheme="minorHAnsi"/>
        </w:rPr>
      </w:pPr>
      <w:r>
        <w:rPr>
          <w:rFonts w:cstheme="minorHAnsi"/>
        </w:rPr>
        <w:t xml:space="preserve">7. </w:t>
      </w:r>
      <w:r w:rsidRPr="00E07C42">
        <w:rPr>
          <w:rFonts w:cstheme="minorHAnsi"/>
        </w:rPr>
        <w:t xml:space="preserve">Plint, A.C., Perry, J.J., Correll, R., Gaboury, I., Lawton, L., 2006. A randomized, controlled trial of removable splinting versus casting for wrist buckle fractures in children. </w:t>
      </w:r>
      <w:r w:rsidRPr="00E07C42">
        <w:rPr>
          <w:rFonts w:cstheme="minorHAnsi"/>
          <w:i/>
          <w:iCs/>
        </w:rPr>
        <w:t>Pediatrics</w:t>
      </w:r>
      <w:r w:rsidRPr="00E07C42">
        <w:rPr>
          <w:rFonts w:cstheme="minorHAnsi"/>
        </w:rPr>
        <w:t>, 117(3</w:t>
      </w:r>
      <w:proofErr w:type="gramStart"/>
      <w:r w:rsidRPr="00E07C42">
        <w:rPr>
          <w:rFonts w:cstheme="minorHAnsi"/>
        </w:rPr>
        <w:t>):pp.</w:t>
      </w:r>
      <w:proofErr w:type="gramEnd"/>
      <w:r w:rsidRPr="00E07C42">
        <w:rPr>
          <w:rFonts w:cstheme="minorHAnsi"/>
        </w:rPr>
        <w:t>691-697.</w:t>
      </w:r>
    </w:p>
    <w:p w14:paraId="5C6C867D" w14:textId="77777777" w:rsidR="00DE71A9" w:rsidRDefault="00DE71A9" w:rsidP="00DE71A9">
      <w:pPr>
        <w:rPr>
          <w:rFonts w:cstheme="minorHAnsi"/>
        </w:rPr>
      </w:pPr>
      <w:r>
        <w:rPr>
          <w:rFonts w:cstheme="minorHAnsi"/>
        </w:rPr>
        <w:t xml:space="preserve">8. </w:t>
      </w:r>
      <w:r w:rsidRPr="00E07C42">
        <w:rPr>
          <w:rFonts w:cstheme="minorHAnsi"/>
        </w:rPr>
        <w:t>Abraham, A., Handoll, H.H., Khan, T., 2008. Interventions for treating wrist fractures in children.</w:t>
      </w:r>
      <w:r>
        <w:rPr>
          <w:rFonts w:cstheme="minorHAnsi"/>
        </w:rPr>
        <w:t xml:space="preserve"> </w:t>
      </w:r>
      <w:r w:rsidRPr="00E07C42">
        <w:rPr>
          <w:rFonts w:cstheme="minorHAnsi"/>
        </w:rPr>
        <w:t>The Cochrane database of systematic reviews [online], 16(2):CD004576. Available at: &lt;http://onlinelibrary.wiley.com/doi/10.1002/14651858.CD004576.pub2/abstract&gt; [Accessed 23 November 2012]</w:t>
      </w:r>
    </w:p>
    <w:p w14:paraId="610363AF" w14:textId="77777777" w:rsidR="00DE71A9" w:rsidRDefault="00DE71A9" w:rsidP="00DE71A9">
      <w:pPr>
        <w:rPr>
          <w:rFonts w:cstheme="minorHAnsi"/>
        </w:rPr>
      </w:pPr>
      <w:r>
        <w:rPr>
          <w:rFonts w:cstheme="minorHAnsi"/>
        </w:rPr>
        <w:t xml:space="preserve">9. </w:t>
      </w:r>
      <w:r w:rsidRPr="00063577">
        <w:rPr>
          <w:rFonts w:cstheme="minorHAnsi"/>
        </w:rPr>
        <w:t xml:space="preserve">Farbman KS, et al., 1999. The role of serial radiographs in the management of paediatric to-rus fractures. </w:t>
      </w:r>
      <w:r w:rsidRPr="005D472B">
        <w:rPr>
          <w:rFonts w:cstheme="minorHAnsi"/>
          <w:i/>
          <w:iCs/>
        </w:rPr>
        <w:t>Archives of Pediatrics and Adolescent Medicine</w:t>
      </w:r>
      <w:r w:rsidRPr="00063577">
        <w:rPr>
          <w:rFonts w:cstheme="minorHAnsi"/>
        </w:rPr>
        <w:t xml:space="preserve">, </w:t>
      </w:r>
      <w:proofErr w:type="gramStart"/>
      <w:r w:rsidRPr="00063577">
        <w:rPr>
          <w:rFonts w:cstheme="minorHAnsi"/>
        </w:rPr>
        <w:t>153:pp.</w:t>
      </w:r>
      <w:proofErr w:type="gramEnd"/>
      <w:r w:rsidRPr="00063577">
        <w:rPr>
          <w:rFonts w:cstheme="minorHAnsi"/>
        </w:rPr>
        <w:t>923–5.</w:t>
      </w:r>
    </w:p>
    <w:p w14:paraId="5DD4DD8A" w14:textId="77777777" w:rsidR="00DE71A9" w:rsidRPr="00E07C42" w:rsidRDefault="00DE71A9" w:rsidP="00DE71A9">
      <w:pPr>
        <w:rPr>
          <w:rFonts w:cstheme="minorHAnsi"/>
        </w:rPr>
      </w:pPr>
      <w:r>
        <w:rPr>
          <w:rFonts w:cstheme="minorHAnsi"/>
        </w:rPr>
        <w:t xml:space="preserve">10. </w:t>
      </w:r>
      <w:r w:rsidRPr="00E07C42">
        <w:rPr>
          <w:rFonts w:cstheme="minorHAnsi"/>
        </w:rPr>
        <w:t xml:space="preserve">Khan, K.S., Grufferty, A., Gallagher, O., Moore, D.P., Fogarty, E., Dowling, F., 2007. A randomized trial of 'soft cast' for distal radius buckle fractures in children. </w:t>
      </w:r>
      <w:r w:rsidRPr="00E07C42">
        <w:rPr>
          <w:rFonts w:cstheme="minorHAnsi"/>
          <w:i/>
          <w:iCs/>
        </w:rPr>
        <w:t>Acta orthopaedica Belgica</w:t>
      </w:r>
      <w:r w:rsidRPr="00E07C42">
        <w:rPr>
          <w:rFonts w:cstheme="minorHAnsi"/>
        </w:rPr>
        <w:t>, 73(5</w:t>
      </w:r>
      <w:proofErr w:type="gramStart"/>
      <w:r w:rsidRPr="00E07C42">
        <w:rPr>
          <w:rFonts w:cstheme="minorHAnsi"/>
        </w:rPr>
        <w:t>):pp.</w:t>
      </w:r>
      <w:proofErr w:type="gramEnd"/>
      <w:r w:rsidRPr="00E07C42">
        <w:rPr>
          <w:rFonts w:cstheme="minorHAnsi"/>
        </w:rPr>
        <w:t>594-597.</w:t>
      </w:r>
    </w:p>
    <w:p w14:paraId="1676C6BD" w14:textId="77777777" w:rsidR="00DE71A9" w:rsidRPr="00E07C42" w:rsidRDefault="00DE71A9" w:rsidP="00DE71A9">
      <w:pPr>
        <w:rPr>
          <w:rFonts w:cstheme="minorHAnsi"/>
        </w:rPr>
      </w:pPr>
      <w:r>
        <w:rPr>
          <w:rFonts w:cstheme="minorHAnsi"/>
        </w:rPr>
        <w:t xml:space="preserve">11. </w:t>
      </w:r>
      <w:r w:rsidRPr="00E07C42">
        <w:rPr>
          <w:rFonts w:cstheme="minorHAnsi"/>
        </w:rPr>
        <w:t>Symons, S., Rowsell, M., Bhowal, B., Dias, J.J., 2001. Hospital versus home management of children with buckle fractures of the distal radius. A prospective, randomised trial.</w:t>
      </w:r>
      <w:r w:rsidRPr="00E07C42">
        <w:rPr>
          <w:rFonts w:cstheme="minorHAnsi"/>
          <w:i/>
          <w:iCs/>
        </w:rPr>
        <w:t xml:space="preserve"> The Journal of bone and joint surgery. British volume</w:t>
      </w:r>
      <w:r w:rsidRPr="00E07C42">
        <w:rPr>
          <w:rFonts w:cstheme="minorHAnsi"/>
        </w:rPr>
        <w:t>, 83(4</w:t>
      </w:r>
      <w:proofErr w:type="gramStart"/>
      <w:r w:rsidRPr="00E07C42">
        <w:rPr>
          <w:rFonts w:cstheme="minorHAnsi"/>
        </w:rPr>
        <w:t>):pp.</w:t>
      </w:r>
      <w:proofErr w:type="gramEnd"/>
      <w:r w:rsidRPr="00E07C42">
        <w:rPr>
          <w:rFonts w:cstheme="minorHAnsi"/>
        </w:rPr>
        <w:t>556-560.</w:t>
      </w:r>
    </w:p>
    <w:p w14:paraId="65B2FF13" w14:textId="77777777" w:rsidR="00DE71A9" w:rsidRPr="00E07C42" w:rsidRDefault="00DE71A9" w:rsidP="00DE71A9">
      <w:pPr>
        <w:rPr>
          <w:rFonts w:cstheme="minorHAnsi"/>
        </w:rPr>
      </w:pPr>
      <w:r>
        <w:rPr>
          <w:rFonts w:cstheme="minorHAnsi"/>
        </w:rPr>
        <w:t xml:space="preserve">12. </w:t>
      </w:r>
      <w:r w:rsidRPr="00E07C42">
        <w:rPr>
          <w:rFonts w:cstheme="minorHAnsi"/>
        </w:rPr>
        <w:t xml:space="preserve">van Bosse, H.J.P., Patel, R.J., Thacker, M., Sala, D.A., 2005. Minimalistic approach to treating wrist torus fractures. </w:t>
      </w:r>
      <w:r w:rsidRPr="00E07C42">
        <w:rPr>
          <w:rFonts w:cstheme="minorHAnsi"/>
          <w:i/>
          <w:iCs/>
        </w:rPr>
        <w:t>Journal of Orthopaedics</w:t>
      </w:r>
      <w:r w:rsidRPr="00E07C42">
        <w:rPr>
          <w:rFonts w:cstheme="minorHAnsi"/>
        </w:rPr>
        <w:t>, 25(4</w:t>
      </w:r>
      <w:proofErr w:type="gramStart"/>
      <w:r w:rsidRPr="00E07C42">
        <w:rPr>
          <w:rFonts w:cstheme="minorHAnsi"/>
        </w:rPr>
        <w:t>),pp.</w:t>
      </w:r>
      <w:proofErr w:type="gramEnd"/>
      <w:r w:rsidRPr="00E07C42">
        <w:rPr>
          <w:rFonts w:cstheme="minorHAnsi"/>
        </w:rPr>
        <w:t>495–500</w:t>
      </w:r>
    </w:p>
    <w:p w14:paraId="1EF06182" w14:textId="77777777" w:rsidR="00DE71A9" w:rsidRPr="00E07C42" w:rsidRDefault="00DE71A9" w:rsidP="00DE71A9">
      <w:pPr>
        <w:rPr>
          <w:rFonts w:cstheme="minorHAnsi"/>
        </w:rPr>
      </w:pPr>
      <w:r>
        <w:rPr>
          <w:rFonts w:cstheme="minorHAnsi"/>
        </w:rPr>
        <w:t xml:space="preserve">13. </w:t>
      </w:r>
      <w:r w:rsidRPr="00E07C42">
        <w:rPr>
          <w:rFonts w:cstheme="minorHAnsi"/>
        </w:rPr>
        <w:t xml:space="preserve">West, S., Andrews, J., Bebbington, A., Ennis, O., Alderman, P., 2005. Buckle fractures of the distal radius are safely treated in a soft bandage – a randomized prospective trial of bandage versus plaster cast. </w:t>
      </w:r>
      <w:r w:rsidRPr="00E07C42">
        <w:rPr>
          <w:rFonts w:cstheme="minorHAnsi"/>
          <w:i/>
          <w:iCs/>
        </w:rPr>
        <w:t>Journal of Pediatric Orthopaedics</w:t>
      </w:r>
      <w:r w:rsidRPr="00E07C42">
        <w:rPr>
          <w:rFonts w:cstheme="minorHAnsi"/>
        </w:rPr>
        <w:t>, 25(3</w:t>
      </w:r>
      <w:proofErr w:type="gramStart"/>
      <w:r w:rsidRPr="00E07C42">
        <w:rPr>
          <w:rFonts w:cstheme="minorHAnsi"/>
        </w:rPr>
        <w:t>),pp.</w:t>
      </w:r>
      <w:proofErr w:type="gramEnd"/>
      <w:r w:rsidRPr="00E07C42">
        <w:rPr>
          <w:rFonts w:cstheme="minorHAnsi"/>
        </w:rPr>
        <w:t>322–325.</w:t>
      </w:r>
    </w:p>
    <w:p w14:paraId="74113A43" w14:textId="77777777" w:rsidR="00C5069F" w:rsidRDefault="00C5069F" w:rsidP="00C5069F">
      <w:pPr>
        <w:rPr>
          <w:rFonts w:cstheme="minorHAnsi"/>
        </w:rPr>
      </w:pPr>
      <w:r>
        <w:rPr>
          <w:rFonts w:cstheme="minorHAnsi"/>
        </w:rPr>
        <w:t xml:space="preserve">14. </w:t>
      </w:r>
      <w:r w:rsidRPr="00B74251">
        <w:rPr>
          <w:rFonts w:cstheme="minorHAnsi"/>
        </w:rPr>
        <w:t xml:space="preserve">May G, Grayson A., 2009. Do buckle fractures of the paediatric wrist require follow-up? </w:t>
      </w:r>
      <w:r w:rsidRPr="005D472B">
        <w:rPr>
          <w:rFonts w:cstheme="minorHAnsi"/>
          <w:i/>
          <w:iCs/>
        </w:rPr>
        <w:t>Emergency Medicine Journal</w:t>
      </w:r>
      <w:r w:rsidRPr="00B74251">
        <w:rPr>
          <w:rFonts w:cstheme="minorHAnsi"/>
        </w:rPr>
        <w:t xml:space="preserve">, </w:t>
      </w:r>
      <w:proofErr w:type="gramStart"/>
      <w:r w:rsidRPr="00B74251">
        <w:rPr>
          <w:rFonts w:cstheme="minorHAnsi"/>
        </w:rPr>
        <w:t>26:pp.</w:t>
      </w:r>
      <w:proofErr w:type="gramEnd"/>
      <w:r w:rsidRPr="00B74251">
        <w:rPr>
          <w:rFonts w:cstheme="minorHAnsi"/>
        </w:rPr>
        <w:t>819–22.</w:t>
      </w:r>
    </w:p>
    <w:p w14:paraId="53F51B91" w14:textId="77777777" w:rsidR="00C5069F" w:rsidRPr="00E07C42" w:rsidRDefault="00C5069F" w:rsidP="00C5069F">
      <w:pPr>
        <w:rPr>
          <w:rFonts w:cstheme="minorHAnsi"/>
        </w:rPr>
      </w:pPr>
      <w:r>
        <w:rPr>
          <w:rFonts w:cstheme="minorHAnsi"/>
        </w:rPr>
        <w:lastRenderedPageBreak/>
        <w:t xml:space="preserve">15. </w:t>
      </w:r>
      <w:r w:rsidRPr="00E07C42">
        <w:rPr>
          <w:rFonts w:cstheme="minorHAnsi"/>
        </w:rPr>
        <w:t xml:space="preserve">Keane, L.A., 1916. Plaster of Paris. </w:t>
      </w:r>
      <w:r w:rsidRPr="00E07C42">
        <w:rPr>
          <w:rFonts w:cstheme="minorHAnsi"/>
          <w:i/>
          <w:iCs/>
        </w:rPr>
        <w:t>The Journal of Physical Chemistry</w:t>
      </w:r>
      <w:r w:rsidRPr="00E07C42">
        <w:rPr>
          <w:rFonts w:cstheme="minorHAnsi"/>
        </w:rPr>
        <w:t>, 20(8</w:t>
      </w:r>
      <w:proofErr w:type="gramStart"/>
      <w:r w:rsidRPr="00E07C42">
        <w:rPr>
          <w:rFonts w:cstheme="minorHAnsi"/>
        </w:rPr>
        <w:t>):pp.</w:t>
      </w:r>
      <w:proofErr w:type="gramEnd"/>
      <w:r w:rsidRPr="00E07C42">
        <w:rPr>
          <w:rFonts w:cstheme="minorHAnsi"/>
        </w:rPr>
        <w:t>701–723.</w:t>
      </w:r>
    </w:p>
    <w:p w14:paraId="531525C7" w14:textId="77777777" w:rsidR="00C5069F" w:rsidRDefault="00C5069F" w:rsidP="00C5069F">
      <w:pPr>
        <w:rPr>
          <w:rFonts w:cstheme="minorHAnsi"/>
        </w:rPr>
      </w:pPr>
      <w:r>
        <w:rPr>
          <w:rFonts w:cstheme="minorHAnsi"/>
        </w:rPr>
        <w:t xml:space="preserve">16. </w:t>
      </w:r>
      <w:r w:rsidRPr="00E07C42">
        <w:rPr>
          <w:rFonts w:cstheme="minorHAnsi"/>
        </w:rPr>
        <w:t xml:space="preserve">Chongthu, J.L., Singh, M.A., Waikhom, S., Khawlhring, M., 2011. </w:t>
      </w:r>
      <w:r>
        <w:rPr>
          <w:rFonts w:cstheme="minorHAnsi"/>
        </w:rPr>
        <w:t>C</w:t>
      </w:r>
      <w:r w:rsidRPr="00E07C42">
        <w:rPr>
          <w:rFonts w:cstheme="minorHAnsi"/>
        </w:rPr>
        <w:t xml:space="preserve">utaneous changes associated with prolonged plaster of Paris immobilization. </w:t>
      </w:r>
      <w:r w:rsidRPr="003926DD">
        <w:rPr>
          <w:rFonts w:cstheme="minorHAnsi"/>
          <w:i/>
          <w:iCs/>
        </w:rPr>
        <w:t>Indian journal of dermatology, venereology and leprology</w:t>
      </w:r>
      <w:r w:rsidRPr="00E07C42">
        <w:rPr>
          <w:rFonts w:cstheme="minorHAnsi"/>
        </w:rPr>
        <w:t>, 77(5</w:t>
      </w:r>
      <w:proofErr w:type="gramStart"/>
      <w:r w:rsidRPr="00E07C42">
        <w:rPr>
          <w:rFonts w:cstheme="minorHAnsi"/>
        </w:rPr>
        <w:t>):p.</w:t>
      </w:r>
      <w:proofErr w:type="gramEnd"/>
      <w:r w:rsidRPr="00E07C42">
        <w:rPr>
          <w:rFonts w:cstheme="minorHAnsi"/>
        </w:rPr>
        <w:t>626.</w:t>
      </w:r>
    </w:p>
    <w:p w14:paraId="7D2F73FF" w14:textId="77777777" w:rsidR="00C5069F" w:rsidRPr="00E07C42" w:rsidRDefault="00C5069F" w:rsidP="00C5069F">
      <w:pPr>
        <w:rPr>
          <w:rFonts w:cstheme="minorHAnsi"/>
        </w:rPr>
      </w:pPr>
      <w:r>
        <w:rPr>
          <w:rFonts w:cstheme="minorHAnsi"/>
        </w:rPr>
        <w:t xml:space="preserve">17. </w:t>
      </w:r>
      <w:r w:rsidRPr="00E07C42">
        <w:rPr>
          <w:rFonts w:cstheme="minorHAnsi"/>
        </w:rPr>
        <w:t xml:space="preserve">Kaplan, S.S., 1981. Burns following application of plaster splint dressings. Report of two cases. </w:t>
      </w:r>
      <w:r w:rsidRPr="00E07C42">
        <w:rPr>
          <w:rFonts w:cstheme="minorHAnsi"/>
          <w:i/>
          <w:iCs/>
        </w:rPr>
        <w:t>Journal of Bone and Joint Surgery, American Volume</w:t>
      </w:r>
      <w:r w:rsidRPr="00E07C42">
        <w:rPr>
          <w:rFonts w:cstheme="minorHAnsi"/>
        </w:rPr>
        <w:t>, 63(4</w:t>
      </w:r>
      <w:proofErr w:type="gramStart"/>
      <w:r w:rsidRPr="00E07C42">
        <w:rPr>
          <w:rFonts w:cstheme="minorHAnsi"/>
        </w:rPr>
        <w:t>):pp.</w:t>
      </w:r>
      <w:proofErr w:type="gramEnd"/>
      <w:r w:rsidRPr="00E07C42">
        <w:rPr>
          <w:rFonts w:cstheme="minorHAnsi"/>
        </w:rPr>
        <w:t xml:space="preserve">670-972. </w:t>
      </w:r>
    </w:p>
    <w:p w14:paraId="2081F42D" w14:textId="77777777" w:rsidR="00C5069F" w:rsidRPr="00E07C42" w:rsidRDefault="00C5069F" w:rsidP="00C5069F">
      <w:pPr>
        <w:rPr>
          <w:rFonts w:cstheme="minorHAnsi"/>
        </w:rPr>
      </w:pPr>
      <w:r>
        <w:rPr>
          <w:rFonts w:cstheme="minorHAnsi"/>
        </w:rPr>
        <w:t xml:space="preserve">18. </w:t>
      </w:r>
      <w:r w:rsidRPr="00E07C42">
        <w:rPr>
          <w:rFonts w:cstheme="minorHAnsi"/>
        </w:rPr>
        <w:t xml:space="preserve">Halanski, M.A., Halanski, A.D., Oza, A., Vanderby, R., Munoz, A., Noonan, K.J., 2007. Thermal injury with contemporary cast application techniques and methods to circumvent morbidity. </w:t>
      </w:r>
      <w:r w:rsidRPr="00E07C42">
        <w:rPr>
          <w:rFonts w:cstheme="minorHAnsi"/>
          <w:i/>
          <w:iCs/>
        </w:rPr>
        <w:t>Journal of Bone and Joint Surgery, American Volume</w:t>
      </w:r>
      <w:r w:rsidRPr="00E07C42">
        <w:rPr>
          <w:rFonts w:cstheme="minorHAnsi"/>
        </w:rPr>
        <w:t>, 89(11</w:t>
      </w:r>
      <w:proofErr w:type="gramStart"/>
      <w:r w:rsidRPr="00E07C42">
        <w:rPr>
          <w:rFonts w:cstheme="minorHAnsi"/>
        </w:rPr>
        <w:t>):pp.</w:t>
      </w:r>
      <w:proofErr w:type="gramEnd"/>
      <w:r w:rsidRPr="00E07C42">
        <w:rPr>
          <w:rFonts w:cstheme="minorHAnsi"/>
        </w:rPr>
        <w:t>2369-2377.</w:t>
      </w:r>
    </w:p>
    <w:p w14:paraId="7F5B8CEF" w14:textId="77777777" w:rsidR="00C5069F" w:rsidRPr="00E07C42" w:rsidRDefault="00C5069F" w:rsidP="00C5069F">
      <w:pPr>
        <w:rPr>
          <w:rFonts w:cstheme="minorHAnsi"/>
        </w:rPr>
      </w:pPr>
      <w:r>
        <w:rPr>
          <w:rFonts w:cstheme="minorHAnsi"/>
        </w:rPr>
        <w:t xml:space="preserve">19. </w:t>
      </w:r>
      <w:r w:rsidRPr="00E07C42">
        <w:rPr>
          <w:rFonts w:cstheme="minorHAnsi"/>
        </w:rPr>
        <w:t>Centre for Reviews and Dissemination, 2010. [online] York: CRD. Available at: &lt;http://www.crd.york.ac.uk/crdweb/ShowRecord.asp?AccessionNumber=12009109084&amp;UserID=0&gt; [Accessed 24 November 2012].</w:t>
      </w:r>
    </w:p>
    <w:p w14:paraId="3481239C" w14:textId="77777777" w:rsidR="00C5069F" w:rsidRDefault="00C5069F" w:rsidP="00C5069F">
      <w:pPr>
        <w:rPr>
          <w:rFonts w:cstheme="minorHAnsi"/>
        </w:rPr>
      </w:pPr>
      <w:r>
        <w:rPr>
          <w:rFonts w:cstheme="minorHAnsi"/>
        </w:rPr>
        <w:t xml:space="preserve">20. </w:t>
      </w:r>
      <w:r w:rsidRPr="00E07C42">
        <w:rPr>
          <w:rFonts w:cstheme="minorHAnsi"/>
        </w:rPr>
        <w:t>Higgins, J.P.T., Green, S., (editors), 2011. Cochrane Handbook for Systematic Reviews of Interventions Version 5.1.0 [e-book]. The Cochrane Collaboration. Available at: &lt;www.cochrane-handbook.org&gt; [Accessed 25 November 2012]</w:t>
      </w:r>
    </w:p>
    <w:p w14:paraId="593FF987" w14:textId="77777777" w:rsidR="00C5069F" w:rsidRPr="00E07C42" w:rsidRDefault="00C5069F" w:rsidP="00C5069F">
      <w:pPr>
        <w:rPr>
          <w:rFonts w:cstheme="minorHAnsi"/>
        </w:rPr>
      </w:pPr>
      <w:r>
        <w:rPr>
          <w:rFonts w:cstheme="minorHAnsi"/>
        </w:rPr>
        <w:t xml:space="preserve">21. </w:t>
      </w:r>
      <w:r w:rsidRPr="00170386">
        <w:rPr>
          <w:rFonts w:cstheme="minorHAnsi"/>
        </w:rPr>
        <w:t>Moher</w:t>
      </w:r>
      <w:r>
        <w:rPr>
          <w:rFonts w:cstheme="minorHAnsi"/>
        </w:rPr>
        <w:t>,</w:t>
      </w:r>
      <w:r w:rsidRPr="00170386">
        <w:rPr>
          <w:rFonts w:cstheme="minorHAnsi"/>
        </w:rPr>
        <w:t xml:space="preserve"> D</w:t>
      </w:r>
      <w:r>
        <w:rPr>
          <w:rFonts w:cstheme="minorHAnsi"/>
        </w:rPr>
        <w:t>.</w:t>
      </w:r>
      <w:r w:rsidRPr="00170386">
        <w:rPr>
          <w:rFonts w:cstheme="minorHAnsi"/>
        </w:rPr>
        <w:t>, Liberati</w:t>
      </w:r>
      <w:r>
        <w:rPr>
          <w:rFonts w:cstheme="minorHAnsi"/>
        </w:rPr>
        <w:t>,</w:t>
      </w:r>
      <w:r w:rsidRPr="00170386">
        <w:rPr>
          <w:rFonts w:cstheme="minorHAnsi"/>
        </w:rPr>
        <w:t xml:space="preserve"> A</w:t>
      </w:r>
      <w:r>
        <w:rPr>
          <w:rFonts w:cstheme="minorHAnsi"/>
        </w:rPr>
        <w:t>.</w:t>
      </w:r>
      <w:r w:rsidRPr="00170386">
        <w:rPr>
          <w:rFonts w:cstheme="minorHAnsi"/>
        </w:rPr>
        <w:t>, Tetzlaff</w:t>
      </w:r>
      <w:r>
        <w:rPr>
          <w:rFonts w:cstheme="minorHAnsi"/>
        </w:rPr>
        <w:t>,</w:t>
      </w:r>
      <w:r w:rsidRPr="00170386">
        <w:rPr>
          <w:rFonts w:cstheme="minorHAnsi"/>
        </w:rPr>
        <w:t xml:space="preserve"> J</w:t>
      </w:r>
      <w:r>
        <w:rPr>
          <w:rFonts w:cstheme="minorHAnsi"/>
        </w:rPr>
        <w:t>.</w:t>
      </w:r>
      <w:r w:rsidRPr="00170386">
        <w:rPr>
          <w:rFonts w:cstheme="minorHAnsi"/>
        </w:rPr>
        <w:t>, Altman</w:t>
      </w:r>
      <w:r>
        <w:rPr>
          <w:rFonts w:cstheme="minorHAnsi"/>
        </w:rPr>
        <w:t>,</w:t>
      </w:r>
      <w:r w:rsidRPr="00170386">
        <w:rPr>
          <w:rFonts w:cstheme="minorHAnsi"/>
        </w:rPr>
        <w:t xml:space="preserve"> D</w:t>
      </w:r>
      <w:r>
        <w:rPr>
          <w:rFonts w:cstheme="minorHAnsi"/>
        </w:rPr>
        <w:t>.</w:t>
      </w:r>
      <w:r w:rsidRPr="00170386">
        <w:rPr>
          <w:rFonts w:cstheme="minorHAnsi"/>
        </w:rPr>
        <w:t>G</w:t>
      </w:r>
      <w:r>
        <w:rPr>
          <w:rFonts w:cstheme="minorHAnsi"/>
        </w:rPr>
        <w:t>.</w:t>
      </w:r>
      <w:r w:rsidRPr="00170386">
        <w:rPr>
          <w:rFonts w:cstheme="minorHAnsi"/>
        </w:rPr>
        <w:t>, The PRISMA Group</w:t>
      </w:r>
      <w:r>
        <w:rPr>
          <w:rFonts w:cstheme="minorHAnsi"/>
        </w:rPr>
        <w:t xml:space="preserve">, </w:t>
      </w:r>
      <w:r w:rsidRPr="00170386">
        <w:rPr>
          <w:rFonts w:cstheme="minorHAnsi"/>
        </w:rPr>
        <w:t>2009</w:t>
      </w:r>
      <w:r>
        <w:rPr>
          <w:rFonts w:cstheme="minorHAnsi"/>
        </w:rPr>
        <w:t xml:space="preserve">. </w:t>
      </w:r>
      <w:r w:rsidRPr="00170386">
        <w:rPr>
          <w:rFonts w:cstheme="minorHAnsi"/>
        </w:rPr>
        <w:t xml:space="preserve">Preferred Reporting Items for Systematic Reviews and Meta-Analyses: The PRISMA Statement. </w:t>
      </w:r>
      <w:r w:rsidRPr="001E29B9">
        <w:rPr>
          <w:rFonts w:cstheme="minorHAnsi"/>
          <w:i/>
          <w:iCs/>
        </w:rPr>
        <w:t>Annals of internal medicine</w:t>
      </w:r>
      <w:r>
        <w:rPr>
          <w:rFonts w:cstheme="minorHAnsi"/>
        </w:rPr>
        <w:t>,</w:t>
      </w:r>
      <w:r w:rsidRPr="00170386">
        <w:rPr>
          <w:rFonts w:cstheme="minorHAnsi"/>
        </w:rPr>
        <w:t xml:space="preserve"> 151(4</w:t>
      </w:r>
      <w:proofErr w:type="gramStart"/>
      <w:r w:rsidRPr="00170386">
        <w:rPr>
          <w:rFonts w:cstheme="minorHAnsi"/>
        </w:rPr>
        <w:t>):</w:t>
      </w:r>
      <w:r>
        <w:rPr>
          <w:rFonts w:cstheme="minorHAnsi"/>
        </w:rPr>
        <w:t>pp.</w:t>
      </w:r>
      <w:proofErr w:type="gramEnd"/>
      <w:r w:rsidRPr="00170386">
        <w:rPr>
          <w:rFonts w:cstheme="minorHAnsi"/>
        </w:rPr>
        <w:t>264-</w:t>
      </w:r>
      <w:r>
        <w:rPr>
          <w:rFonts w:cstheme="minorHAnsi"/>
        </w:rPr>
        <w:t>26</w:t>
      </w:r>
      <w:r w:rsidRPr="00170386">
        <w:rPr>
          <w:rFonts w:cstheme="minorHAnsi"/>
        </w:rPr>
        <w:t>9</w:t>
      </w:r>
      <w:r>
        <w:rPr>
          <w:rFonts w:cstheme="minorHAnsi"/>
        </w:rPr>
        <w:t>.</w:t>
      </w:r>
    </w:p>
    <w:p w14:paraId="0636E560" w14:textId="77777777" w:rsidR="00C5069F" w:rsidRPr="00D36EF5" w:rsidRDefault="00C5069F" w:rsidP="00C5069F">
      <w:pPr>
        <w:rPr>
          <w:rFonts w:cstheme="minorHAnsi"/>
        </w:rPr>
      </w:pPr>
      <w:r>
        <w:rPr>
          <w:rFonts w:cstheme="minorHAnsi"/>
        </w:rPr>
        <w:t xml:space="preserve">22. </w:t>
      </w:r>
      <w:r w:rsidRPr="00D36EF5">
        <w:rPr>
          <w:rFonts w:cstheme="minorHAnsi"/>
        </w:rPr>
        <w:t xml:space="preserve">Dahl, M., Waldrop, J.B., 2013. Cast vs. splint for a child with a buckle fracture. </w:t>
      </w:r>
      <w:r w:rsidRPr="003926DD">
        <w:rPr>
          <w:rFonts w:cstheme="minorHAnsi"/>
          <w:i/>
          <w:iCs/>
        </w:rPr>
        <w:t>Clinical Advisor for Nurse Practitioners</w:t>
      </w:r>
      <w:r w:rsidRPr="00D36EF5">
        <w:rPr>
          <w:rFonts w:cstheme="minorHAnsi"/>
        </w:rPr>
        <w:t>, 16(10</w:t>
      </w:r>
      <w:proofErr w:type="gramStart"/>
      <w:r w:rsidRPr="00D36EF5">
        <w:rPr>
          <w:rFonts w:cstheme="minorHAnsi"/>
        </w:rPr>
        <w:t>):pp.</w:t>
      </w:r>
      <w:proofErr w:type="gramEnd"/>
      <w:r w:rsidRPr="00D36EF5">
        <w:rPr>
          <w:rFonts w:cstheme="minorHAnsi"/>
        </w:rPr>
        <w:t>71.</w:t>
      </w:r>
    </w:p>
    <w:p w14:paraId="0654926D" w14:textId="77777777" w:rsidR="00C5069F" w:rsidRPr="002A5BCC" w:rsidRDefault="00C5069F" w:rsidP="00C5069F">
      <w:pPr>
        <w:rPr>
          <w:rFonts w:cstheme="minorHAnsi"/>
        </w:rPr>
      </w:pPr>
      <w:r>
        <w:rPr>
          <w:rFonts w:cstheme="minorHAnsi"/>
        </w:rPr>
        <w:t xml:space="preserve">23. </w:t>
      </w:r>
      <w:r w:rsidRPr="002A5BCC">
        <w:rPr>
          <w:rFonts w:cstheme="minorHAnsi"/>
        </w:rPr>
        <w:t>Howes, M.C., Cutting, P., Thomas, M., 2008. Best Evidence Topic report. Bet2. Splinting of buckle fractures of the distal radius in children.</w:t>
      </w:r>
      <w:r w:rsidRPr="002A5BCC">
        <w:rPr>
          <w:rFonts w:cstheme="minorHAnsi"/>
          <w:b/>
          <w:bCs/>
        </w:rPr>
        <w:t xml:space="preserve"> </w:t>
      </w:r>
      <w:r w:rsidRPr="002A5BCC">
        <w:rPr>
          <w:rFonts w:cstheme="minorHAnsi"/>
          <w:i/>
          <w:iCs/>
        </w:rPr>
        <w:t>Emergency medicine journal</w:t>
      </w:r>
      <w:r w:rsidRPr="002A5BCC">
        <w:rPr>
          <w:rFonts w:cstheme="minorHAnsi"/>
        </w:rPr>
        <w:t>, 25(4</w:t>
      </w:r>
      <w:proofErr w:type="gramStart"/>
      <w:r w:rsidRPr="002A5BCC">
        <w:rPr>
          <w:rFonts w:cstheme="minorHAnsi"/>
        </w:rPr>
        <w:t>):pp.</w:t>
      </w:r>
      <w:proofErr w:type="gramEnd"/>
      <w:r w:rsidRPr="002A5BCC">
        <w:rPr>
          <w:rFonts w:cstheme="minorHAnsi"/>
        </w:rPr>
        <w:t>222-223</w:t>
      </w:r>
    </w:p>
    <w:p w14:paraId="12769EA6" w14:textId="77777777" w:rsidR="00DE71A9" w:rsidRDefault="00DE71A9" w:rsidP="00DE71A9">
      <w:pPr>
        <w:rPr>
          <w:rFonts w:cstheme="minorHAnsi"/>
        </w:rPr>
      </w:pPr>
      <w:r>
        <w:rPr>
          <w:rFonts w:cstheme="minorHAnsi"/>
        </w:rPr>
        <w:t xml:space="preserve">24. </w:t>
      </w:r>
      <w:r w:rsidRPr="00F52A52">
        <w:rPr>
          <w:rFonts w:cstheme="minorHAnsi"/>
        </w:rPr>
        <w:t xml:space="preserve">Barry, H., 2002. Are wrist splints effective in the treatment of torus fractures of the distal radius in children? </w:t>
      </w:r>
      <w:r w:rsidRPr="00F52A52">
        <w:rPr>
          <w:rFonts w:cstheme="minorHAnsi"/>
          <w:i/>
          <w:iCs/>
        </w:rPr>
        <w:t>Evidence-Based Practice</w:t>
      </w:r>
      <w:r w:rsidRPr="00F52A52">
        <w:rPr>
          <w:rFonts w:cstheme="minorHAnsi"/>
        </w:rPr>
        <w:t xml:space="preserve">, </w:t>
      </w:r>
      <w:proofErr w:type="gramStart"/>
      <w:r w:rsidRPr="00F52A52">
        <w:rPr>
          <w:rFonts w:cstheme="minorHAnsi"/>
        </w:rPr>
        <w:t>5</w:t>
      </w:r>
      <w:r>
        <w:rPr>
          <w:rFonts w:cstheme="minorHAnsi"/>
        </w:rPr>
        <w:t>:p.</w:t>
      </w:r>
      <w:proofErr w:type="gramEnd"/>
      <w:r w:rsidRPr="00F52A52">
        <w:rPr>
          <w:rFonts w:cstheme="minorHAnsi"/>
        </w:rPr>
        <w:t>4</w:t>
      </w:r>
      <w:r>
        <w:rPr>
          <w:rFonts w:cstheme="minorHAnsi"/>
        </w:rPr>
        <w:t>.</w:t>
      </w:r>
    </w:p>
    <w:p w14:paraId="29B37689" w14:textId="77777777" w:rsidR="00C5069F" w:rsidRPr="002A5BCC" w:rsidRDefault="00C5069F" w:rsidP="00C5069F">
      <w:pPr>
        <w:rPr>
          <w:rFonts w:cstheme="minorHAnsi"/>
        </w:rPr>
      </w:pPr>
      <w:r>
        <w:rPr>
          <w:rFonts w:cstheme="minorHAnsi"/>
        </w:rPr>
        <w:t xml:space="preserve">25. </w:t>
      </w:r>
      <w:r w:rsidRPr="002A5BCC">
        <w:rPr>
          <w:rFonts w:cstheme="minorHAnsi"/>
        </w:rPr>
        <w:t xml:space="preserve">Walker, J.K., Kane, K.Y, 2002. Is splinting of distal radius torus fractures an acceptable alternative to </w:t>
      </w:r>
      <w:proofErr w:type="gramStart"/>
      <w:r w:rsidRPr="002A5BCC">
        <w:rPr>
          <w:rFonts w:cstheme="minorHAnsi"/>
        </w:rPr>
        <w:t>casting?.</w:t>
      </w:r>
      <w:proofErr w:type="gramEnd"/>
      <w:r w:rsidRPr="002A5BCC">
        <w:rPr>
          <w:rFonts w:cstheme="minorHAnsi"/>
          <w:b/>
          <w:bCs/>
        </w:rPr>
        <w:t xml:space="preserve"> </w:t>
      </w:r>
      <w:r w:rsidRPr="002A5BCC">
        <w:rPr>
          <w:rFonts w:cstheme="minorHAnsi"/>
          <w:i/>
          <w:iCs/>
        </w:rPr>
        <w:t>Journal of Family Practice</w:t>
      </w:r>
      <w:r w:rsidRPr="002A5BCC">
        <w:rPr>
          <w:rFonts w:cstheme="minorHAnsi"/>
        </w:rPr>
        <w:t>, 51(4</w:t>
      </w:r>
      <w:proofErr w:type="gramStart"/>
      <w:r w:rsidRPr="002A5BCC">
        <w:rPr>
          <w:rFonts w:cstheme="minorHAnsi"/>
        </w:rPr>
        <w:t>):p.</w:t>
      </w:r>
      <w:proofErr w:type="gramEnd"/>
      <w:r w:rsidRPr="002A5BCC">
        <w:rPr>
          <w:rFonts w:cstheme="minorHAnsi"/>
        </w:rPr>
        <w:t>382.</w:t>
      </w:r>
    </w:p>
    <w:p w14:paraId="13F8C08E" w14:textId="181ED4F8" w:rsidR="00AA5804" w:rsidRDefault="0031240F" w:rsidP="00AF6E96">
      <w:pPr>
        <w:rPr>
          <w:rFonts w:cstheme="minorHAnsi"/>
        </w:rPr>
      </w:pPr>
      <w:r>
        <w:rPr>
          <w:rFonts w:cstheme="minorHAnsi"/>
        </w:rPr>
        <w:t xml:space="preserve">26. </w:t>
      </w:r>
      <w:r w:rsidR="00D36EF5" w:rsidRPr="00D36EF5">
        <w:rPr>
          <w:rFonts w:cstheme="minorHAnsi"/>
        </w:rPr>
        <w:t xml:space="preserve">Allison, S., 2008. </w:t>
      </w:r>
      <w:r w:rsidR="00AA5804" w:rsidRPr="00D36EF5">
        <w:rPr>
          <w:rFonts w:cstheme="minorHAnsi"/>
        </w:rPr>
        <w:t>Paediatric torus fracture.</w:t>
      </w:r>
      <w:r w:rsidR="00AA5804" w:rsidRPr="00D36EF5">
        <w:rPr>
          <w:rFonts w:cstheme="minorHAnsi"/>
          <w:b/>
          <w:bCs/>
        </w:rPr>
        <w:t xml:space="preserve"> </w:t>
      </w:r>
      <w:r w:rsidR="00AA5804" w:rsidRPr="00D36EF5">
        <w:rPr>
          <w:rFonts w:cstheme="minorHAnsi"/>
          <w:i/>
          <w:iCs/>
        </w:rPr>
        <w:t>Emergency Nurse</w:t>
      </w:r>
      <w:r w:rsidR="00AA5804" w:rsidRPr="00D36EF5">
        <w:rPr>
          <w:rFonts w:cstheme="minorHAnsi"/>
        </w:rPr>
        <w:t>, 16</w:t>
      </w:r>
      <w:r w:rsidR="00D36EF5" w:rsidRPr="00D36EF5">
        <w:rPr>
          <w:rFonts w:cstheme="minorHAnsi"/>
        </w:rPr>
        <w:t>(</w:t>
      </w:r>
      <w:r w:rsidR="00AA5804" w:rsidRPr="00D36EF5">
        <w:rPr>
          <w:rFonts w:cstheme="minorHAnsi"/>
        </w:rPr>
        <w:t>6</w:t>
      </w:r>
      <w:proofErr w:type="gramStart"/>
      <w:r w:rsidR="00D36EF5" w:rsidRPr="00D36EF5">
        <w:rPr>
          <w:rFonts w:cstheme="minorHAnsi"/>
        </w:rPr>
        <w:t>):</w:t>
      </w:r>
      <w:r w:rsidR="00AA5804" w:rsidRPr="00D36EF5">
        <w:rPr>
          <w:rFonts w:cstheme="minorHAnsi"/>
        </w:rPr>
        <w:t>p</w:t>
      </w:r>
      <w:r w:rsidR="00D36EF5" w:rsidRPr="00D36EF5">
        <w:rPr>
          <w:rFonts w:cstheme="minorHAnsi"/>
        </w:rPr>
        <w:t>p</w:t>
      </w:r>
      <w:r w:rsidR="00AA5804" w:rsidRPr="00D36EF5">
        <w:rPr>
          <w:rFonts w:cstheme="minorHAnsi"/>
        </w:rPr>
        <w:t>.</w:t>
      </w:r>
      <w:proofErr w:type="gramEnd"/>
      <w:r w:rsidR="00AA5804" w:rsidRPr="00D36EF5">
        <w:rPr>
          <w:rFonts w:cstheme="minorHAnsi"/>
        </w:rPr>
        <w:t xml:space="preserve"> 22-25</w:t>
      </w:r>
      <w:r w:rsidR="00D36EF5" w:rsidRPr="00D36EF5">
        <w:rPr>
          <w:rFonts w:cstheme="minorHAnsi"/>
        </w:rPr>
        <w:t>.</w:t>
      </w:r>
    </w:p>
    <w:p w14:paraId="3D28D318" w14:textId="77777777" w:rsidR="00DE71A9" w:rsidRPr="0034308B" w:rsidRDefault="00DE71A9" w:rsidP="00DE71A9">
      <w:pPr>
        <w:rPr>
          <w:rFonts w:cstheme="minorHAnsi"/>
        </w:rPr>
      </w:pPr>
      <w:r>
        <w:rPr>
          <w:rFonts w:cstheme="minorHAnsi"/>
        </w:rPr>
        <w:t xml:space="preserve">27. </w:t>
      </w:r>
      <w:r w:rsidRPr="0034308B">
        <w:rPr>
          <w:rFonts w:cstheme="minorHAnsi"/>
        </w:rPr>
        <w:t xml:space="preserve">Cumberland, J., Burke, D., Sprigg, A., Flowers, M., 2009. Introduction and validation of the management of isolated apex volar buckle fractures of the distal radius with a single visit to the emergency department and associated cost savings. </w:t>
      </w:r>
      <w:r w:rsidRPr="0034308B">
        <w:rPr>
          <w:rFonts w:cstheme="minorHAnsi"/>
          <w:i/>
          <w:iCs/>
        </w:rPr>
        <w:t>Emergency Medicine Journal</w:t>
      </w:r>
      <w:r w:rsidRPr="0034308B">
        <w:rPr>
          <w:rFonts w:cstheme="minorHAnsi"/>
        </w:rPr>
        <w:t>,</w:t>
      </w:r>
      <w:r>
        <w:rPr>
          <w:rFonts w:cstheme="minorHAnsi"/>
        </w:rPr>
        <w:t xml:space="preserve"> </w:t>
      </w:r>
      <w:proofErr w:type="gramStart"/>
      <w:r w:rsidRPr="0034308B">
        <w:rPr>
          <w:rFonts w:cstheme="minorHAnsi"/>
        </w:rPr>
        <w:t>26:p.</w:t>
      </w:r>
      <w:proofErr w:type="gramEnd"/>
      <w:r w:rsidRPr="0034308B">
        <w:rPr>
          <w:rFonts w:cstheme="minorHAnsi"/>
        </w:rPr>
        <w:t>35.</w:t>
      </w:r>
    </w:p>
    <w:p w14:paraId="221439B9" w14:textId="77777777" w:rsidR="00C5069F" w:rsidRDefault="00C5069F" w:rsidP="00C5069F">
      <w:pPr>
        <w:rPr>
          <w:rFonts w:cstheme="minorHAnsi"/>
        </w:rPr>
      </w:pPr>
      <w:r>
        <w:rPr>
          <w:rFonts w:cstheme="minorHAnsi"/>
        </w:rPr>
        <w:t xml:space="preserve">28. </w:t>
      </w:r>
      <w:r w:rsidRPr="00917FB4">
        <w:rPr>
          <w:rFonts w:cstheme="minorHAnsi"/>
        </w:rPr>
        <w:t>Williams KG, Smith G, Luhmann SJ, Mao J, Gunn JD 3rd, Luhmann JD</w:t>
      </w:r>
      <w:r>
        <w:rPr>
          <w:rFonts w:cstheme="minorHAnsi"/>
        </w:rPr>
        <w:t xml:space="preserve">, </w:t>
      </w:r>
      <w:r w:rsidRPr="00917FB4">
        <w:rPr>
          <w:rFonts w:cstheme="minorHAnsi"/>
        </w:rPr>
        <w:t xml:space="preserve">2013. A randomized controlled trial of cast versus splint for distal radial buckle fracture: an evaluation of satisfaction, convenience, and preference. </w:t>
      </w:r>
      <w:r w:rsidRPr="005D472B">
        <w:rPr>
          <w:rFonts w:cstheme="minorHAnsi"/>
          <w:i/>
          <w:iCs/>
        </w:rPr>
        <w:t>Pediatric Emergency Care</w:t>
      </w:r>
      <w:r>
        <w:rPr>
          <w:rFonts w:cstheme="minorHAnsi"/>
        </w:rPr>
        <w:t xml:space="preserve">, </w:t>
      </w:r>
      <w:proofErr w:type="gramStart"/>
      <w:r w:rsidRPr="00917FB4">
        <w:rPr>
          <w:rFonts w:cstheme="minorHAnsi"/>
        </w:rPr>
        <w:t>29:</w:t>
      </w:r>
      <w:r>
        <w:rPr>
          <w:rFonts w:cstheme="minorHAnsi"/>
        </w:rPr>
        <w:t>pp.</w:t>
      </w:r>
      <w:proofErr w:type="gramEnd"/>
      <w:r w:rsidRPr="00917FB4">
        <w:rPr>
          <w:rFonts w:cstheme="minorHAnsi"/>
        </w:rPr>
        <w:t>555-559.</w:t>
      </w:r>
    </w:p>
    <w:p w14:paraId="7CF72773" w14:textId="77777777" w:rsidR="00C5069F" w:rsidRPr="00917FB4" w:rsidRDefault="00C5069F" w:rsidP="00C5069F">
      <w:pPr>
        <w:rPr>
          <w:rFonts w:cstheme="minorHAnsi"/>
        </w:rPr>
      </w:pPr>
      <w:r>
        <w:rPr>
          <w:rFonts w:cstheme="minorHAnsi"/>
        </w:rPr>
        <w:t xml:space="preserve">29. </w:t>
      </w:r>
      <w:r w:rsidRPr="00917FB4">
        <w:rPr>
          <w:rFonts w:cstheme="minorHAnsi"/>
        </w:rPr>
        <w:t xml:space="preserve">Karimi </w:t>
      </w:r>
      <w:r>
        <w:rPr>
          <w:rFonts w:cstheme="minorHAnsi"/>
        </w:rPr>
        <w:t>M</w:t>
      </w:r>
      <w:r w:rsidRPr="00917FB4">
        <w:rPr>
          <w:rFonts w:cstheme="minorHAnsi"/>
        </w:rPr>
        <w:t>M, Nemati</w:t>
      </w:r>
      <w:r>
        <w:rPr>
          <w:rFonts w:cstheme="minorHAnsi"/>
        </w:rPr>
        <w:t xml:space="preserve"> A</w:t>
      </w:r>
      <w:r w:rsidRPr="00917FB4">
        <w:rPr>
          <w:rFonts w:cstheme="minorHAnsi"/>
        </w:rPr>
        <w:t>,</w:t>
      </w:r>
      <w:r>
        <w:rPr>
          <w:rFonts w:cstheme="minorHAnsi"/>
        </w:rPr>
        <w:t xml:space="preserve"> </w:t>
      </w:r>
      <w:r w:rsidRPr="00917FB4">
        <w:rPr>
          <w:rFonts w:cstheme="minorHAnsi"/>
        </w:rPr>
        <w:t>Noktesanj</w:t>
      </w:r>
      <w:r>
        <w:rPr>
          <w:rFonts w:cstheme="minorHAnsi"/>
        </w:rPr>
        <w:t xml:space="preserve"> R</w:t>
      </w:r>
      <w:r w:rsidRPr="00917FB4">
        <w:rPr>
          <w:rFonts w:cstheme="minorHAnsi"/>
        </w:rPr>
        <w:t>, Fallahi</w:t>
      </w:r>
      <w:r>
        <w:rPr>
          <w:rFonts w:cstheme="minorHAnsi"/>
        </w:rPr>
        <w:t xml:space="preserve"> A</w:t>
      </w:r>
      <w:r w:rsidRPr="00917FB4">
        <w:rPr>
          <w:rFonts w:cstheme="minorHAnsi"/>
        </w:rPr>
        <w:t>,</w:t>
      </w:r>
      <w:r>
        <w:rPr>
          <w:rFonts w:cstheme="minorHAnsi"/>
        </w:rPr>
        <w:t xml:space="preserve"> </w:t>
      </w:r>
      <w:r w:rsidRPr="00917FB4">
        <w:rPr>
          <w:rFonts w:cstheme="minorHAnsi"/>
        </w:rPr>
        <w:t>Safari</w:t>
      </w:r>
      <w:r>
        <w:rPr>
          <w:rFonts w:cstheme="minorHAnsi"/>
        </w:rPr>
        <w:t xml:space="preserve"> S, 2013. </w:t>
      </w:r>
      <w:r w:rsidRPr="00917FB4">
        <w:rPr>
          <w:rFonts w:cstheme="minorHAnsi"/>
        </w:rPr>
        <w:t>Application of Removable Wrist Splint in the Management of Distal Forearm Torus Fractures</w:t>
      </w:r>
      <w:r>
        <w:rPr>
          <w:rFonts w:cstheme="minorHAnsi"/>
        </w:rPr>
        <w:t xml:space="preserve">. </w:t>
      </w:r>
      <w:r w:rsidRPr="00A87A41">
        <w:rPr>
          <w:rFonts w:cstheme="minorHAnsi"/>
          <w:i/>
          <w:iCs/>
        </w:rPr>
        <w:t>Trauma Monthly</w:t>
      </w:r>
      <w:r>
        <w:rPr>
          <w:rFonts w:cstheme="minorHAnsi"/>
        </w:rPr>
        <w:t>,</w:t>
      </w:r>
      <w:r w:rsidRPr="00917FB4">
        <w:rPr>
          <w:rFonts w:cstheme="minorHAnsi"/>
        </w:rPr>
        <w:t xml:space="preserve"> 17(4): </w:t>
      </w:r>
      <w:r>
        <w:rPr>
          <w:rFonts w:cstheme="minorHAnsi"/>
        </w:rPr>
        <w:t>pp.</w:t>
      </w:r>
      <w:r w:rsidRPr="00917FB4">
        <w:rPr>
          <w:rFonts w:cstheme="minorHAnsi"/>
        </w:rPr>
        <w:t>370–372.</w:t>
      </w:r>
    </w:p>
    <w:p w14:paraId="3F62CE0C" w14:textId="77777777" w:rsidR="00C5069F" w:rsidRDefault="00C5069F" w:rsidP="00C5069F">
      <w:pPr>
        <w:rPr>
          <w:rFonts w:cstheme="minorHAnsi"/>
        </w:rPr>
      </w:pPr>
      <w:r>
        <w:rPr>
          <w:rFonts w:cstheme="minorHAnsi"/>
        </w:rPr>
        <w:lastRenderedPageBreak/>
        <w:t xml:space="preserve">30. </w:t>
      </w:r>
      <w:r w:rsidRPr="00450C9B">
        <w:rPr>
          <w:rFonts w:cstheme="minorHAnsi"/>
        </w:rPr>
        <w:t>Critical Appraisal Skills Programme (CASP)</w:t>
      </w:r>
      <w:r>
        <w:rPr>
          <w:rFonts w:cstheme="minorHAnsi"/>
        </w:rPr>
        <w:t>,</w:t>
      </w:r>
      <w:r w:rsidRPr="00450C9B">
        <w:rPr>
          <w:rFonts w:cstheme="minorHAnsi"/>
        </w:rPr>
        <w:t xml:space="preserve"> 2013</w:t>
      </w:r>
      <w:r>
        <w:rPr>
          <w:rFonts w:cstheme="minorHAnsi"/>
        </w:rPr>
        <w:t>. [online]</w:t>
      </w:r>
      <w:r w:rsidRPr="00450C9B">
        <w:rPr>
          <w:rFonts w:cstheme="minorHAnsi"/>
        </w:rPr>
        <w:t xml:space="preserve"> Oxford</w:t>
      </w:r>
      <w:r>
        <w:rPr>
          <w:rFonts w:cstheme="minorHAnsi"/>
        </w:rPr>
        <w:t>:</w:t>
      </w:r>
      <w:r w:rsidRPr="00450C9B">
        <w:t xml:space="preserve"> </w:t>
      </w:r>
      <w:r w:rsidRPr="00450C9B">
        <w:rPr>
          <w:rFonts w:cstheme="minorHAnsi"/>
        </w:rPr>
        <w:t>Better Value Healthcare Ltd</w:t>
      </w:r>
      <w:r>
        <w:rPr>
          <w:rFonts w:cstheme="minorHAnsi"/>
        </w:rPr>
        <w:t>. Avilable at:</w:t>
      </w:r>
      <w:r w:rsidRPr="00450C9B">
        <w:rPr>
          <w:rFonts w:cstheme="minorHAnsi"/>
        </w:rPr>
        <w:t xml:space="preserve"> </w:t>
      </w:r>
      <w:r>
        <w:rPr>
          <w:rFonts w:cstheme="minorHAnsi"/>
        </w:rPr>
        <w:t>&lt;</w:t>
      </w:r>
      <w:r w:rsidRPr="00450C9B">
        <w:rPr>
          <w:rFonts w:cstheme="minorHAnsi"/>
        </w:rPr>
        <w:t>http://www.casp-uk.net/#!casp-tools-checklists/c18f8</w:t>
      </w:r>
      <w:r>
        <w:rPr>
          <w:rFonts w:cstheme="minorHAnsi"/>
        </w:rPr>
        <w:t>&gt; [Accessed 29 April 2014].</w:t>
      </w:r>
    </w:p>
    <w:p w14:paraId="4C87874A" w14:textId="77777777" w:rsidR="00C5069F" w:rsidRDefault="00C5069F" w:rsidP="00C5069F">
      <w:pPr>
        <w:rPr>
          <w:rFonts w:cstheme="minorHAnsi"/>
        </w:rPr>
      </w:pPr>
      <w:r>
        <w:rPr>
          <w:rFonts w:cstheme="minorHAnsi"/>
        </w:rPr>
        <w:t xml:space="preserve">31. </w:t>
      </w:r>
      <w:r w:rsidRPr="00DC3316">
        <w:rPr>
          <w:rFonts w:cstheme="minorHAnsi"/>
        </w:rPr>
        <w:t>Eren, A., Eceviz, E., Ozkan, K., Unay, K., 2009. Torus fracture of the distal radius associated with distal radioulnar joint instability: A case report.</w:t>
      </w:r>
      <w:r w:rsidRPr="00DC3316">
        <w:rPr>
          <w:rFonts w:cstheme="minorHAnsi"/>
          <w:b/>
          <w:bCs/>
        </w:rPr>
        <w:t xml:space="preserve"> </w:t>
      </w:r>
      <w:r w:rsidRPr="00DC3316">
        <w:rPr>
          <w:rFonts w:cstheme="minorHAnsi"/>
          <w:i/>
          <w:iCs/>
        </w:rPr>
        <w:t>Journal of Pediatric Orthopaedic</w:t>
      </w:r>
      <w:r w:rsidRPr="00DC3316">
        <w:rPr>
          <w:rFonts w:cstheme="minorHAnsi"/>
        </w:rPr>
        <w:t>, 18(1</w:t>
      </w:r>
      <w:proofErr w:type="gramStart"/>
      <w:r w:rsidRPr="00DC3316">
        <w:rPr>
          <w:rFonts w:cstheme="minorHAnsi"/>
        </w:rPr>
        <w:t>):pp.</w:t>
      </w:r>
      <w:proofErr w:type="gramEnd"/>
      <w:r w:rsidRPr="00DC3316">
        <w:rPr>
          <w:rFonts w:cstheme="minorHAnsi"/>
        </w:rPr>
        <w:t>35-36.</w:t>
      </w:r>
    </w:p>
    <w:p w14:paraId="30B15E4A" w14:textId="77777777" w:rsidR="00C5069F" w:rsidRPr="00525416" w:rsidRDefault="00C5069F" w:rsidP="00C5069F">
      <w:pPr>
        <w:rPr>
          <w:rFonts w:cstheme="minorHAnsi"/>
        </w:rPr>
      </w:pPr>
      <w:r>
        <w:rPr>
          <w:rFonts w:cstheme="minorHAnsi"/>
        </w:rPr>
        <w:t xml:space="preserve">32. </w:t>
      </w:r>
      <w:r w:rsidRPr="00525416">
        <w:rPr>
          <w:rFonts w:cstheme="minorHAnsi"/>
        </w:rPr>
        <w:t>Sarmiento, A., Zagorski, J.B., Sinclair, W.F., 1980. Functional bracing of Colles’ fractures: a</w:t>
      </w:r>
      <w:r>
        <w:rPr>
          <w:rFonts w:cstheme="minorHAnsi"/>
        </w:rPr>
        <w:t xml:space="preserve"> </w:t>
      </w:r>
      <w:r w:rsidRPr="00525416">
        <w:rPr>
          <w:rFonts w:cstheme="minorHAnsi"/>
        </w:rPr>
        <w:t xml:space="preserve">prospective study of immobilization in supination vs. pronation. </w:t>
      </w:r>
      <w:r w:rsidRPr="005D472B">
        <w:rPr>
          <w:rFonts w:cstheme="minorHAnsi"/>
          <w:i/>
          <w:iCs/>
        </w:rPr>
        <w:t>Clinical orthopaedics and related research</w:t>
      </w:r>
      <w:r w:rsidRPr="00525416">
        <w:rPr>
          <w:rFonts w:cstheme="minorHAnsi"/>
        </w:rPr>
        <w:t xml:space="preserve">, </w:t>
      </w:r>
      <w:proofErr w:type="gramStart"/>
      <w:r w:rsidRPr="00525416">
        <w:rPr>
          <w:rFonts w:cstheme="minorHAnsi"/>
        </w:rPr>
        <w:t>146:pp.</w:t>
      </w:r>
      <w:proofErr w:type="gramEnd"/>
      <w:r w:rsidRPr="00525416">
        <w:rPr>
          <w:rFonts w:cstheme="minorHAnsi"/>
        </w:rPr>
        <w:t>175-83.</w:t>
      </w:r>
    </w:p>
    <w:p w14:paraId="4701163D" w14:textId="77777777" w:rsidR="00C5069F" w:rsidRPr="00525416" w:rsidRDefault="00C5069F" w:rsidP="00C5069F">
      <w:pPr>
        <w:rPr>
          <w:rFonts w:cstheme="minorHAnsi"/>
        </w:rPr>
      </w:pPr>
      <w:r>
        <w:rPr>
          <w:rFonts w:cstheme="minorHAnsi"/>
        </w:rPr>
        <w:t xml:space="preserve">33. </w:t>
      </w:r>
      <w:r w:rsidRPr="00525416">
        <w:rPr>
          <w:rFonts w:cstheme="minorHAnsi"/>
        </w:rPr>
        <w:t xml:space="preserve">Ferris, B.D., Thomas, N.P., Dewar, M.E., Simpson, D.A., 1989. Brace treatment of Colles’ fracture. </w:t>
      </w:r>
      <w:r w:rsidRPr="005D472B">
        <w:rPr>
          <w:rFonts w:cstheme="minorHAnsi"/>
          <w:i/>
          <w:iCs/>
        </w:rPr>
        <w:t>Acta orthopaedica Scandinavica</w:t>
      </w:r>
      <w:r w:rsidRPr="00525416">
        <w:rPr>
          <w:rFonts w:cstheme="minorHAnsi"/>
        </w:rPr>
        <w:t xml:space="preserve">, </w:t>
      </w:r>
      <w:proofErr w:type="gramStart"/>
      <w:r w:rsidRPr="00525416">
        <w:rPr>
          <w:rFonts w:cstheme="minorHAnsi"/>
        </w:rPr>
        <w:t>60:pp.</w:t>
      </w:r>
      <w:proofErr w:type="gramEnd"/>
      <w:r w:rsidRPr="00525416">
        <w:rPr>
          <w:rFonts w:cstheme="minorHAnsi"/>
        </w:rPr>
        <w:t>63-5.</w:t>
      </w:r>
    </w:p>
    <w:p w14:paraId="0FBF03B8" w14:textId="77777777" w:rsidR="00C5069F" w:rsidRPr="00525416" w:rsidRDefault="00C5069F" w:rsidP="00C5069F">
      <w:pPr>
        <w:rPr>
          <w:rFonts w:cstheme="minorHAnsi"/>
        </w:rPr>
      </w:pPr>
      <w:r>
        <w:rPr>
          <w:rFonts w:cstheme="minorHAnsi"/>
        </w:rPr>
        <w:t xml:space="preserve">34. </w:t>
      </w:r>
      <w:r w:rsidRPr="00525416">
        <w:rPr>
          <w:rFonts w:cstheme="minorHAnsi"/>
        </w:rPr>
        <w:t xml:space="preserve">Boutis, K., Willan, A., Babyn, P., Goeree, R., Howard, A., 2010. Cast versus splint in children with minimally angulated fractures of the distal radius: a randomized controlled trial. </w:t>
      </w:r>
      <w:r w:rsidRPr="00525416">
        <w:rPr>
          <w:rFonts w:cstheme="minorHAnsi"/>
          <w:i/>
          <w:iCs/>
        </w:rPr>
        <w:t>Canadian Medical Association journal</w:t>
      </w:r>
      <w:r w:rsidRPr="00525416">
        <w:rPr>
          <w:rFonts w:cstheme="minorHAnsi"/>
        </w:rPr>
        <w:t>, 182(14</w:t>
      </w:r>
      <w:proofErr w:type="gramStart"/>
      <w:r w:rsidRPr="00525416">
        <w:rPr>
          <w:rFonts w:cstheme="minorHAnsi"/>
        </w:rPr>
        <w:t>):pp.</w:t>
      </w:r>
      <w:proofErr w:type="gramEnd"/>
      <w:r w:rsidRPr="00525416">
        <w:rPr>
          <w:rFonts w:cstheme="minorHAnsi"/>
        </w:rPr>
        <w:t>1507-12.</w:t>
      </w:r>
    </w:p>
    <w:p w14:paraId="1F7B0BEF" w14:textId="77777777" w:rsidR="00C5069F" w:rsidRDefault="00C5069F" w:rsidP="00C5069F">
      <w:r>
        <w:t xml:space="preserve">35. </w:t>
      </w:r>
      <w:r w:rsidRPr="00DE71A9">
        <w:t xml:space="preserve">von Keyserlingk C, Boutis K, Willan AR, Hopkins RB, Goeree R, 2011. Cost-effectiveness analysis of cast versus splint in children with acceptably angulated wrist fractures. </w:t>
      </w:r>
      <w:r w:rsidRPr="00DE71A9">
        <w:rPr>
          <w:i/>
          <w:iCs/>
        </w:rPr>
        <w:t>International Journal of Technology Assessment in Health Care</w:t>
      </w:r>
      <w:r w:rsidRPr="00DE71A9">
        <w:t>, 27 (2</w:t>
      </w:r>
      <w:proofErr w:type="gramStart"/>
      <w:r w:rsidRPr="00DE71A9">
        <w:t>):pp.</w:t>
      </w:r>
      <w:proofErr w:type="gramEnd"/>
      <w:r w:rsidRPr="00DE71A9">
        <w:t>101-107</w:t>
      </w:r>
    </w:p>
    <w:p w14:paraId="52ECDFA6" w14:textId="56AF69BB" w:rsidR="003F4F55" w:rsidRPr="003F4F55" w:rsidRDefault="00DE71A9" w:rsidP="00AF6E96">
      <w:pPr>
        <w:rPr>
          <w:rFonts w:cstheme="minorHAnsi"/>
        </w:rPr>
      </w:pPr>
      <w:r>
        <w:t xml:space="preserve">36. </w:t>
      </w:r>
      <w:hyperlink r:id="rId8" w:history="1">
        <w:r w:rsidR="003F4F55" w:rsidRPr="003F4F55">
          <w:rPr>
            <w:rFonts w:cstheme="minorHAnsi"/>
          </w:rPr>
          <w:t>Bae, D.S</w:t>
        </w:r>
      </w:hyperlink>
      <w:r w:rsidR="003F4F55" w:rsidRPr="003F4F55">
        <w:rPr>
          <w:rFonts w:cstheme="minorHAnsi"/>
        </w:rPr>
        <w:t>., </w:t>
      </w:r>
      <w:hyperlink r:id="rId9" w:history="1">
        <w:r w:rsidR="003F4F55" w:rsidRPr="003F4F55">
          <w:rPr>
            <w:rFonts w:cstheme="minorHAnsi"/>
          </w:rPr>
          <w:t>Howard, A.W</w:t>
        </w:r>
      </w:hyperlink>
      <w:r w:rsidR="003F4F55" w:rsidRPr="003F4F55">
        <w:rPr>
          <w:rFonts w:cstheme="minorHAnsi"/>
        </w:rPr>
        <w:t xml:space="preserve">., 2012. Distal radius fractures: what is the evidence? </w:t>
      </w:r>
      <w:r w:rsidR="003F4F55" w:rsidRPr="001F681B">
        <w:rPr>
          <w:rFonts w:cstheme="minorHAnsi"/>
          <w:i/>
          <w:iCs/>
        </w:rPr>
        <w:t>Journal of pediatric orthopaedics</w:t>
      </w:r>
      <w:r w:rsidR="003F4F55" w:rsidRPr="003F4F55">
        <w:rPr>
          <w:rFonts w:cstheme="minorHAnsi"/>
        </w:rPr>
        <w:t>, 32(Suppl 2</w:t>
      </w:r>
      <w:proofErr w:type="gramStart"/>
      <w:r w:rsidR="003F4F55" w:rsidRPr="003F4F55">
        <w:rPr>
          <w:rFonts w:cstheme="minorHAnsi"/>
        </w:rPr>
        <w:t>):pp</w:t>
      </w:r>
      <w:proofErr w:type="gramEnd"/>
      <w:r w:rsidR="003F4F55" w:rsidRPr="003F4F55">
        <w:rPr>
          <w:rFonts w:cstheme="minorHAnsi"/>
        </w:rPr>
        <w:t>.S128-30.</w:t>
      </w:r>
    </w:p>
    <w:p w14:paraId="7663903A" w14:textId="47DF77EA" w:rsidR="00C21B1D" w:rsidRDefault="00C21B1D" w:rsidP="00AF6E96">
      <w:pPr>
        <w:rPr>
          <w:rFonts w:ascii="Arial" w:hAnsi="Arial" w:cs="Arial"/>
          <w:color w:val="000000"/>
        </w:rPr>
      </w:pPr>
    </w:p>
    <w:p w14:paraId="64BBCFEE" w14:textId="77777777" w:rsidR="00C21B1D" w:rsidRPr="00E07C42" w:rsidRDefault="00C21B1D" w:rsidP="00AF6E96">
      <w:pPr>
        <w:rPr>
          <w:rFonts w:cstheme="minorHAnsi"/>
        </w:rPr>
      </w:pPr>
    </w:p>
    <w:p w14:paraId="005476B4" w14:textId="56443197" w:rsidR="00B2494F" w:rsidRDefault="00B2494F" w:rsidP="00AF6E96">
      <w:pPr>
        <w:rPr>
          <w:rFonts w:eastAsia="Times New Roman" w:cstheme="minorHAnsi"/>
          <w:b/>
          <w:smallCaps/>
          <w:color w:val="1F497D"/>
          <w:sz w:val="24"/>
          <w:szCs w:val="24"/>
          <w:lang w:val="en-US"/>
        </w:rPr>
      </w:pPr>
      <w:r>
        <w:rPr>
          <w:rFonts w:eastAsia="Times New Roman" w:cstheme="minorHAnsi"/>
          <w:b/>
          <w:smallCaps/>
          <w:color w:val="1F497D"/>
          <w:sz w:val="24"/>
          <w:szCs w:val="24"/>
          <w:lang w:val="en-US"/>
        </w:rPr>
        <w:br w:type="page"/>
      </w:r>
    </w:p>
    <w:p w14:paraId="213A8984" w14:textId="77777777" w:rsidR="00B2494F" w:rsidRPr="00B2494F" w:rsidRDefault="00B2494F" w:rsidP="00AF6E96">
      <w:pPr>
        <w:rPr>
          <w:lang w:val="en-US"/>
        </w:rPr>
      </w:pPr>
      <w:bookmarkStart w:id="41" w:name="_Toc396767036"/>
      <w:r w:rsidRPr="00B2494F">
        <w:rPr>
          <w:lang w:val="en-US"/>
        </w:rPr>
        <w:lastRenderedPageBreak/>
        <w:t>Figure 1: Radiograph of torus fracture of distal radius (anterior/posterior and lateral views)</w:t>
      </w:r>
      <w:bookmarkEnd w:id="41"/>
    </w:p>
    <w:p w14:paraId="2D6E0C04" w14:textId="77777777" w:rsidR="00B2494F" w:rsidRDefault="00B2494F" w:rsidP="00AF6E96">
      <w:pPr>
        <w:rPr>
          <w:rFonts w:cs="Calibri"/>
          <w:sz w:val="24"/>
          <w:szCs w:val="24"/>
        </w:rPr>
      </w:pPr>
    </w:p>
    <w:p w14:paraId="71CFAE19" w14:textId="77777777" w:rsidR="00B2494F" w:rsidRDefault="00B2494F" w:rsidP="00AF6E96">
      <w:pPr>
        <w:rPr>
          <w:rFonts w:cs="Calibri"/>
          <w:sz w:val="24"/>
          <w:szCs w:val="24"/>
        </w:rPr>
      </w:pPr>
      <w:r>
        <w:rPr>
          <w:noProof/>
          <w:lang w:eastAsia="en-GB"/>
        </w:rPr>
        <w:drawing>
          <wp:inline distT="0" distB="0" distL="0" distR="0" wp14:anchorId="6A247045" wp14:editId="318EE694">
            <wp:extent cx="5640317" cy="4743450"/>
            <wp:effectExtent l="0" t="0" r="0" b="0"/>
            <wp:docPr id="2" name="Picture 2" descr="http://2.bp.blogspot.com/-sFIH6dCrAHE/ToYGMLBK7GI/AAAAAAAAAAM/QE44VUXdRYA/s1600/case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sFIH6dCrAHE/ToYGMLBK7GI/AAAAAAAAAAM/QE44VUXdRYA/s1600/case13-3.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6995" t="21195" b="8108"/>
                    <a:stretch/>
                  </pic:blipFill>
                  <pic:spPr bwMode="auto">
                    <a:xfrm>
                      <a:off x="0" y="0"/>
                      <a:ext cx="5670829" cy="4769111"/>
                    </a:xfrm>
                    <a:prstGeom prst="rect">
                      <a:avLst/>
                    </a:prstGeom>
                    <a:noFill/>
                    <a:ln>
                      <a:noFill/>
                    </a:ln>
                    <a:extLst>
                      <a:ext uri="{53640926-AAD7-44D8-BBD7-CCE9431645EC}">
                        <a14:shadowObscured xmlns:a14="http://schemas.microsoft.com/office/drawing/2010/main"/>
                      </a:ext>
                    </a:extLst>
                  </pic:spPr>
                </pic:pic>
              </a:graphicData>
            </a:graphic>
          </wp:inline>
        </w:drawing>
      </w:r>
    </w:p>
    <w:p w14:paraId="127E0D4D" w14:textId="23D704FF" w:rsidR="00AF6E96" w:rsidRDefault="00AF6E96" w:rsidP="00AF6E96">
      <w:pPr>
        <w:rPr>
          <w:rFonts w:eastAsia="Times New Roman" w:cstheme="minorHAnsi"/>
          <w:b/>
          <w:smallCaps/>
          <w:color w:val="1F497D"/>
          <w:sz w:val="24"/>
          <w:szCs w:val="24"/>
          <w:lang w:val="en-US"/>
        </w:rPr>
      </w:pPr>
    </w:p>
    <w:p w14:paraId="4B294D5D" w14:textId="77777777" w:rsidR="00AF6E96" w:rsidRDefault="00AF6E96">
      <w:r>
        <w:br w:type="page"/>
      </w:r>
    </w:p>
    <w:p w14:paraId="08AAC917" w14:textId="2C54C57E" w:rsidR="00AF6E96" w:rsidRPr="00E07C42" w:rsidRDefault="00AF6E96" w:rsidP="00AF6E96">
      <w:pPr>
        <w:rPr>
          <w:lang w:val="en-US"/>
        </w:rPr>
      </w:pPr>
      <w:r>
        <w:lastRenderedPageBreak/>
        <w:t>Figure</w:t>
      </w:r>
      <w:r>
        <w:rPr>
          <w:lang w:val="en-US"/>
        </w:rPr>
        <w:t xml:space="preserve"> </w:t>
      </w:r>
      <w:proofErr w:type="gramStart"/>
      <w:r>
        <w:rPr>
          <w:lang w:val="en-US"/>
        </w:rPr>
        <w:t>2:flowchart</w:t>
      </w:r>
      <w:proofErr w:type="gramEnd"/>
      <w:r>
        <w:rPr>
          <w:lang w:val="en-US"/>
        </w:rPr>
        <w:t xml:space="preserve"> of searching for studies </w:t>
      </w:r>
    </w:p>
    <w:p w14:paraId="1AF126CA" w14:textId="77777777" w:rsidR="00AF6E96" w:rsidRPr="00E07C42" w:rsidRDefault="00AF6E96" w:rsidP="00AF6E96">
      <w:pPr>
        <w:rPr>
          <w:rFonts w:cstheme="minorHAnsi"/>
        </w:rPr>
      </w:pPr>
    </w:p>
    <w:p w14:paraId="3069D18A" w14:textId="77777777" w:rsidR="00AF6E96" w:rsidRPr="00E07C42" w:rsidRDefault="00AF6E96" w:rsidP="00AF6E96">
      <w:pPr>
        <w:rPr>
          <w:rFonts w:cstheme="minorHAnsi"/>
        </w:rPr>
      </w:pPr>
    </w:p>
    <w:p w14:paraId="6BA4986E" w14:textId="6642342F" w:rsidR="00AF6E96" w:rsidRDefault="00AF6E96" w:rsidP="00AF6E96">
      <w:pPr>
        <w:rPr>
          <w:rFonts w:eastAsia="Times New Roman" w:cstheme="minorHAnsi"/>
          <w:b/>
          <w:smallCaps/>
          <w:color w:val="1F497D"/>
          <w:sz w:val="24"/>
          <w:szCs w:val="24"/>
          <w:lang w:val="en-US"/>
        </w:rPr>
      </w:pPr>
      <w:r w:rsidRPr="00040384">
        <w:rPr>
          <w:rFonts w:ascii="Arial" w:hAnsi="Arial" w:cs="Arial"/>
          <w:noProof/>
          <w:sz w:val="28"/>
          <w:szCs w:val="28"/>
          <w:lang w:eastAsia="en-GB"/>
        </w:rPr>
        <mc:AlternateContent>
          <mc:Choice Requires="wpg">
            <w:drawing>
              <wp:inline distT="0" distB="0" distL="0" distR="0" wp14:anchorId="7D080D06" wp14:editId="38E8A2C1">
                <wp:extent cx="4852842" cy="6661008"/>
                <wp:effectExtent l="0" t="0" r="24130" b="26035"/>
                <wp:docPr id="27" name="Group 27"/>
                <wp:cNvGraphicFramePr/>
                <a:graphic xmlns:a="http://schemas.openxmlformats.org/drawingml/2006/main">
                  <a:graphicData uri="http://schemas.microsoft.com/office/word/2010/wordprocessingGroup">
                    <wpg:wgp>
                      <wpg:cNvGrpSpPr/>
                      <wpg:grpSpPr bwMode="auto">
                        <a:xfrm>
                          <a:off x="0" y="0"/>
                          <a:ext cx="4852842" cy="6661008"/>
                          <a:chOff x="0" y="0"/>
                          <a:chExt cx="7020" cy="8730"/>
                        </a:xfrm>
                      </wpg:grpSpPr>
                      <wps:wsp>
                        <wps:cNvPr id="29" name="Text Box 3"/>
                        <wps:cNvSpPr txBox="1">
                          <a:spLocks noChangeArrowheads="1"/>
                        </wps:cNvSpPr>
                        <wps:spPr bwMode="auto">
                          <a:xfrm>
                            <a:off x="0" y="0"/>
                            <a:ext cx="7020" cy="737"/>
                          </a:xfrm>
                          <a:prstGeom prst="rect">
                            <a:avLst/>
                          </a:prstGeom>
                          <a:solidFill>
                            <a:srgbClr val="F2F2F2"/>
                          </a:solidFill>
                          <a:ln w="9525">
                            <a:solidFill>
                              <a:srgbClr val="000000"/>
                            </a:solidFill>
                            <a:miter lim="800000"/>
                            <a:headEnd/>
                            <a:tailEnd/>
                          </a:ln>
                        </wps:spPr>
                        <wps:txbx>
                          <w:txbxContent>
                            <w:p w14:paraId="50A3B41A" w14:textId="77777777" w:rsidR="005D472B" w:rsidRPr="00350245" w:rsidRDefault="005D472B" w:rsidP="00AF6E96">
                              <w:pPr>
                                <w:jc w:val="center"/>
                                <w:rPr>
                                  <w:rFonts w:cstheme="minorHAnsi"/>
                                  <w:sz w:val="24"/>
                                  <w:szCs w:val="24"/>
                                </w:rPr>
                              </w:pPr>
                              <w:r w:rsidRPr="00350245">
                                <w:rPr>
                                  <w:rFonts w:cstheme="minorHAnsi"/>
                                  <w:sz w:val="24"/>
                                  <w:szCs w:val="24"/>
                                </w:rPr>
                                <w:t>Phase I:</w:t>
                              </w:r>
                            </w:p>
                            <w:p w14:paraId="33412396" w14:textId="77777777" w:rsidR="005D472B" w:rsidRPr="00350245" w:rsidRDefault="005D472B" w:rsidP="00AF6E96">
                              <w:pPr>
                                <w:jc w:val="center"/>
                                <w:rPr>
                                  <w:rFonts w:cstheme="minorHAnsi"/>
                                  <w:sz w:val="24"/>
                                  <w:szCs w:val="24"/>
                                </w:rPr>
                              </w:pPr>
                              <w:r w:rsidRPr="00350245">
                                <w:rPr>
                                  <w:rFonts w:cstheme="minorHAnsi"/>
                                  <w:sz w:val="24"/>
                                  <w:szCs w:val="24"/>
                                </w:rPr>
                                <w:t>Search (databases, handsearch &amp; search for unpublished studies)</w:t>
                              </w:r>
                            </w:p>
                          </w:txbxContent>
                        </wps:txbx>
                        <wps:bodyPr rot="0" vert="horz" wrap="square" lIns="91440" tIns="18000" rIns="91440" bIns="18000" anchor="t" anchorCtr="0" upright="1">
                          <a:noAutofit/>
                        </wps:bodyPr>
                      </wps:wsp>
                      <wps:wsp>
                        <wps:cNvPr id="30" name="Text Box 4"/>
                        <wps:cNvSpPr txBox="1">
                          <a:spLocks noChangeArrowheads="1"/>
                        </wps:cNvSpPr>
                        <wps:spPr bwMode="auto">
                          <a:xfrm>
                            <a:off x="0" y="2530"/>
                            <a:ext cx="5580" cy="737"/>
                          </a:xfrm>
                          <a:prstGeom prst="rect">
                            <a:avLst/>
                          </a:prstGeom>
                          <a:solidFill>
                            <a:srgbClr val="F2F2F2"/>
                          </a:solidFill>
                          <a:ln w="9525">
                            <a:solidFill>
                              <a:srgbClr val="000000"/>
                            </a:solidFill>
                            <a:miter lim="800000"/>
                            <a:headEnd/>
                            <a:tailEnd/>
                          </a:ln>
                        </wps:spPr>
                        <wps:txbx>
                          <w:txbxContent>
                            <w:p w14:paraId="64FEF8AC" w14:textId="77777777" w:rsidR="005D472B" w:rsidRPr="00350245" w:rsidRDefault="005D472B" w:rsidP="00AF6E96">
                              <w:pPr>
                                <w:jc w:val="center"/>
                                <w:rPr>
                                  <w:rFonts w:cstheme="minorHAnsi"/>
                                  <w:sz w:val="24"/>
                                  <w:szCs w:val="24"/>
                                </w:rPr>
                              </w:pPr>
                              <w:r w:rsidRPr="00350245">
                                <w:rPr>
                                  <w:rFonts w:cstheme="minorHAnsi"/>
                                  <w:sz w:val="24"/>
                                  <w:szCs w:val="24"/>
                                </w:rPr>
                                <w:t>Phase II:</w:t>
                              </w:r>
                            </w:p>
                            <w:p w14:paraId="2496CDC1" w14:textId="77777777" w:rsidR="005D472B" w:rsidRPr="00350245" w:rsidRDefault="005D472B" w:rsidP="00AF6E96">
                              <w:pPr>
                                <w:jc w:val="center"/>
                                <w:rPr>
                                  <w:rFonts w:cstheme="minorHAnsi"/>
                                  <w:sz w:val="24"/>
                                  <w:szCs w:val="24"/>
                                </w:rPr>
                              </w:pPr>
                              <w:r w:rsidRPr="00350245">
                                <w:rPr>
                                  <w:rFonts w:cstheme="minorHAnsi"/>
                                  <w:sz w:val="24"/>
                                  <w:szCs w:val="24"/>
                                </w:rPr>
                                <w:t>Title &amp; abstract review</w:t>
                              </w:r>
                            </w:p>
                          </w:txbxContent>
                        </wps:txbx>
                        <wps:bodyPr rot="0" vert="horz" wrap="square" lIns="91440" tIns="18000" rIns="91440" bIns="18000" anchor="t" anchorCtr="0" upright="1">
                          <a:noAutofit/>
                        </wps:bodyPr>
                      </wps:wsp>
                      <wps:wsp>
                        <wps:cNvPr id="31" name="Text Box 5"/>
                        <wps:cNvSpPr txBox="1">
                          <a:spLocks noChangeArrowheads="1"/>
                        </wps:cNvSpPr>
                        <wps:spPr bwMode="auto">
                          <a:xfrm>
                            <a:off x="0" y="4354"/>
                            <a:ext cx="5580" cy="737"/>
                          </a:xfrm>
                          <a:prstGeom prst="rect">
                            <a:avLst/>
                          </a:prstGeom>
                          <a:solidFill>
                            <a:srgbClr val="F2F2F2"/>
                          </a:solidFill>
                          <a:ln w="9525">
                            <a:solidFill>
                              <a:srgbClr val="000000"/>
                            </a:solidFill>
                            <a:miter lim="800000"/>
                            <a:headEnd/>
                            <a:tailEnd/>
                          </a:ln>
                        </wps:spPr>
                        <wps:txbx>
                          <w:txbxContent>
                            <w:p w14:paraId="486034D6" w14:textId="77777777" w:rsidR="005D472B" w:rsidRPr="00350245" w:rsidRDefault="005D472B" w:rsidP="00AF6E96">
                              <w:pPr>
                                <w:jc w:val="center"/>
                                <w:rPr>
                                  <w:rFonts w:cstheme="minorHAnsi"/>
                                  <w:sz w:val="24"/>
                                  <w:szCs w:val="24"/>
                                </w:rPr>
                              </w:pPr>
                              <w:r w:rsidRPr="00350245">
                                <w:rPr>
                                  <w:rFonts w:cstheme="minorHAnsi"/>
                                  <w:sz w:val="24"/>
                                  <w:szCs w:val="24"/>
                                </w:rPr>
                                <w:t>Phase III:</w:t>
                              </w:r>
                            </w:p>
                            <w:p w14:paraId="2DD7D9C6" w14:textId="77777777" w:rsidR="005D472B" w:rsidRPr="00350245" w:rsidRDefault="005D472B" w:rsidP="00AF6E96">
                              <w:pPr>
                                <w:jc w:val="center"/>
                                <w:rPr>
                                  <w:rFonts w:cstheme="minorHAnsi"/>
                                  <w:sz w:val="24"/>
                                  <w:szCs w:val="24"/>
                                </w:rPr>
                              </w:pPr>
                              <w:r w:rsidRPr="00350245">
                                <w:rPr>
                                  <w:rFonts w:cstheme="minorHAnsi"/>
                                  <w:sz w:val="24"/>
                                  <w:szCs w:val="24"/>
                                </w:rPr>
                                <w:t>Remove duplicate</w:t>
                              </w:r>
                            </w:p>
                          </w:txbxContent>
                        </wps:txbx>
                        <wps:bodyPr rot="0" vert="horz" wrap="square" lIns="91440" tIns="18000" rIns="91440" bIns="18000" anchor="t" anchorCtr="0" upright="1">
                          <a:noAutofit/>
                        </wps:bodyPr>
                      </wps:wsp>
                      <wps:wsp>
                        <wps:cNvPr id="32" name="Text Box 6"/>
                        <wps:cNvSpPr txBox="1">
                          <a:spLocks noChangeArrowheads="1"/>
                        </wps:cNvSpPr>
                        <wps:spPr bwMode="auto">
                          <a:xfrm>
                            <a:off x="0" y="6176"/>
                            <a:ext cx="7020" cy="737"/>
                          </a:xfrm>
                          <a:prstGeom prst="rect">
                            <a:avLst/>
                          </a:prstGeom>
                          <a:solidFill>
                            <a:srgbClr val="F2F2F2"/>
                          </a:solidFill>
                          <a:ln w="9525">
                            <a:solidFill>
                              <a:srgbClr val="000000"/>
                            </a:solidFill>
                            <a:miter lim="800000"/>
                            <a:headEnd/>
                            <a:tailEnd/>
                          </a:ln>
                        </wps:spPr>
                        <wps:txbx>
                          <w:txbxContent>
                            <w:p w14:paraId="4CCA4736" w14:textId="77777777" w:rsidR="005D472B" w:rsidRPr="00350245" w:rsidRDefault="005D472B" w:rsidP="00AF6E96">
                              <w:pPr>
                                <w:jc w:val="center"/>
                                <w:rPr>
                                  <w:rFonts w:cstheme="minorHAnsi"/>
                                  <w:sz w:val="24"/>
                                  <w:szCs w:val="24"/>
                                </w:rPr>
                              </w:pPr>
                              <w:r w:rsidRPr="00350245">
                                <w:rPr>
                                  <w:rFonts w:cstheme="minorHAnsi"/>
                                  <w:sz w:val="24"/>
                                  <w:szCs w:val="24"/>
                                </w:rPr>
                                <w:t>Phase IV:</w:t>
                              </w:r>
                            </w:p>
                            <w:p w14:paraId="071ACAFF" w14:textId="77777777" w:rsidR="005D472B" w:rsidRPr="00350245" w:rsidRDefault="005D472B" w:rsidP="00AF6E96">
                              <w:pPr>
                                <w:jc w:val="center"/>
                                <w:rPr>
                                  <w:rFonts w:cstheme="minorHAnsi"/>
                                  <w:sz w:val="24"/>
                                  <w:szCs w:val="24"/>
                                </w:rPr>
                              </w:pPr>
                              <w:r w:rsidRPr="00350245">
                                <w:rPr>
                                  <w:rFonts w:cstheme="minorHAnsi"/>
                                  <w:sz w:val="24"/>
                                  <w:szCs w:val="24"/>
                                </w:rPr>
                                <w:t>Full article review</w:t>
                              </w:r>
                            </w:p>
                          </w:txbxContent>
                        </wps:txbx>
                        <wps:bodyPr rot="0" vert="horz" wrap="square" lIns="91440" tIns="18000" rIns="91440" bIns="18000" anchor="t" anchorCtr="0" upright="1">
                          <a:noAutofit/>
                        </wps:bodyPr>
                      </wps:wsp>
                      <wps:wsp>
                        <wps:cNvPr id="33" name="Text Box 7"/>
                        <wps:cNvSpPr txBox="1">
                          <a:spLocks noChangeArrowheads="1"/>
                        </wps:cNvSpPr>
                        <wps:spPr bwMode="auto">
                          <a:xfrm>
                            <a:off x="0" y="7993"/>
                            <a:ext cx="7020" cy="737"/>
                          </a:xfrm>
                          <a:prstGeom prst="rect">
                            <a:avLst/>
                          </a:prstGeom>
                          <a:solidFill>
                            <a:srgbClr val="F2F2F2"/>
                          </a:solidFill>
                          <a:ln w="9525">
                            <a:solidFill>
                              <a:srgbClr val="000000"/>
                            </a:solidFill>
                            <a:miter lim="800000"/>
                            <a:headEnd/>
                            <a:tailEnd/>
                          </a:ln>
                        </wps:spPr>
                        <wps:txbx>
                          <w:txbxContent>
                            <w:p w14:paraId="29EA4D17" w14:textId="77777777" w:rsidR="005D472B" w:rsidRPr="00350245" w:rsidRDefault="005D472B" w:rsidP="00AF6E96">
                              <w:pPr>
                                <w:jc w:val="center"/>
                                <w:rPr>
                                  <w:rFonts w:cstheme="minorHAnsi"/>
                                  <w:sz w:val="24"/>
                                  <w:szCs w:val="24"/>
                                </w:rPr>
                              </w:pPr>
                              <w:r w:rsidRPr="00350245">
                                <w:rPr>
                                  <w:rFonts w:cstheme="minorHAnsi"/>
                                  <w:sz w:val="24"/>
                                  <w:szCs w:val="24"/>
                                </w:rPr>
                                <w:t>Phase V:</w:t>
                              </w:r>
                            </w:p>
                            <w:p w14:paraId="1C9C2487" w14:textId="77777777" w:rsidR="005D472B" w:rsidRPr="00350245" w:rsidRDefault="005D472B" w:rsidP="00AF6E96">
                              <w:pPr>
                                <w:jc w:val="center"/>
                                <w:rPr>
                                  <w:rFonts w:cstheme="minorHAnsi"/>
                                  <w:sz w:val="24"/>
                                  <w:szCs w:val="24"/>
                                </w:rPr>
                              </w:pPr>
                              <w:r>
                                <w:rPr>
                                  <w:rFonts w:cstheme="minorHAnsi"/>
                                  <w:sz w:val="24"/>
                                  <w:szCs w:val="24"/>
                                </w:rPr>
                                <w:t>Applying inclusion and exclusion criteria</w:t>
                              </w:r>
                            </w:p>
                          </w:txbxContent>
                        </wps:txbx>
                        <wps:bodyPr rot="0" vert="horz" wrap="square" lIns="91440" tIns="18000" rIns="91440" bIns="18000" anchor="t" anchorCtr="0" upright="1">
                          <a:noAutofit/>
                        </wps:bodyPr>
                      </wps:wsp>
                      <wpg:grpSp>
                        <wpg:cNvPr id="35" name="Group 35"/>
                        <wpg:cNvGrpSpPr>
                          <a:grpSpLocks/>
                        </wpg:cNvGrpSpPr>
                        <wpg:grpSpPr bwMode="auto">
                          <a:xfrm>
                            <a:off x="0" y="744"/>
                            <a:ext cx="7020" cy="7249"/>
                            <a:chOff x="0" y="744"/>
                            <a:chExt cx="7020" cy="7249"/>
                          </a:xfrm>
                        </wpg:grpSpPr>
                        <wps:wsp>
                          <wps:cNvPr id="36" name="Text Box 31"/>
                          <wps:cNvSpPr txBox="1">
                            <a:spLocks noChangeArrowheads="1"/>
                          </wps:cNvSpPr>
                          <wps:spPr bwMode="auto">
                            <a:xfrm>
                              <a:off x="0" y="744"/>
                              <a:ext cx="2048" cy="720"/>
                            </a:xfrm>
                            <a:prstGeom prst="rect">
                              <a:avLst/>
                            </a:prstGeom>
                            <a:solidFill>
                              <a:srgbClr val="FFFFFF"/>
                            </a:solidFill>
                            <a:ln w="9525">
                              <a:solidFill>
                                <a:srgbClr val="000000"/>
                              </a:solidFill>
                              <a:miter lim="800000"/>
                              <a:headEnd/>
                              <a:tailEnd/>
                            </a:ln>
                          </wps:spPr>
                          <wps:txbx>
                            <w:txbxContent>
                              <w:p w14:paraId="2D321939" w14:textId="77777777" w:rsidR="005D472B" w:rsidRPr="00350245" w:rsidRDefault="005D472B" w:rsidP="00AF6E96">
                                <w:pPr>
                                  <w:jc w:val="center"/>
                                  <w:rPr>
                                    <w:rFonts w:cstheme="minorHAnsi"/>
                                    <w:sz w:val="20"/>
                                    <w:szCs w:val="20"/>
                                  </w:rPr>
                                </w:pPr>
                                <w:r w:rsidRPr="00350245">
                                  <w:rPr>
                                    <w:rFonts w:cstheme="minorHAnsi"/>
                                    <w:sz w:val="20"/>
                                    <w:szCs w:val="20"/>
                                  </w:rPr>
                                  <w:t xml:space="preserve">MEDLINE, EMBASE, AMED, BNI, CINAHL </w:t>
                                </w:r>
                                <w:r>
                                  <w:rPr>
                                    <w:rFonts w:cstheme="minorHAnsi"/>
                                    <w:sz w:val="20"/>
                                    <w:szCs w:val="20"/>
                                  </w:rPr>
                                  <w:t>and</w:t>
                                </w:r>
                                <w:r w:rsidRPr="00350245">
                                  <w:rPr>
                                    <w:rFonts w:cstheme="minorHAnsi"/>
                                    <w:sz w:val="20"/>
                                    <w:szCs w:val="20"/>
                                  </w:rPr>
                                  <w:t xml:space="preserve"> Health Business Elite</w:t>
                                </w:r>
                              </w:p>
                            </w:txbxContent>
                          </wps:txbx>
                          <wps:bodyPr rot="0" vert="horz" wrap="square" lIns="18000" tIns="18000" rIns="18000" bIns="18000" anchor="t" anchorCtr="0" upright="1">
                            <a:noAutofit/>
                          </wps:bodyPr>
                        </wps:wsp>
                        <wps:wsp>
                          <wps:cNvPr id="37" name="Text Box 33"/>
                          <wps:cNvSpPr txBox="1">
                            <a:spLocks noChangeArrowheads="1"/>
                          </wps:cNvSpPr>
                          <wps:spPr bwMode="auto">
                            <a:xfrm>
                              <a:off x="2257" y="744"/>
                              <a:ext cx="1260" cy="720"/>
                            </a:xfrm>
                            <a:prstGeom prst="rect">
                              <a:avLst/>
                            </a:prstGeom>
                            <a:solidFill>
                              <a:srgbClr val="FFFFFF"/>
                            </a:solidFill>
                            <a:ln w="9525">
                              <a:solidFill>
                                <a:srgbClr val="000000"/>
                              </a:solidFill>
                              <a:miter lim="800000"/>
                              <a:headEnd/>
                              <a:tailEnd/>
                            </a:ln>
                          </wps:spPr>
                          <wps:txbx>
                            <w:txbxContent>
                              <w:p w14:paraId="75FE72CD" w14:textId="77777777" w:rsidR="005D472B" w:rsidRPr="00350245" w:rsidRDefault="005D472B" w:rsidP="00AF6E96">
                                <w:pPr>
                                  <w:jc w:val="center"/>
                                  <w:rPr>
                                    <w:rFonts w:cstheme="minorHAnsi"/>
                                    <w:sz w:val="20"/>
                                    <w:szCs w:val="20"/>
                                  </w:rPr>
                                </w:pPr>
                                <w:r w:rsidRPr="00350245">
                                  <w:rPr>
                                    <w:rFonts w:cstheme="minorHAnsi"/>
                                    <w:sz w:val="20"/>
                                    <w:szCs w:val="20"/>
                                  </w:rPr>
                                  <w:t>Cochrane</w:t>
                                </w:r>
                                <w:r>
                                  <w:rPr>
                                    <w:rFonts w:cstheme="minorHAnsi"/>
                                    <w:sz w:val="20"/>
                                    <w:szCs w:val="20"/>
                                  </w:rPr>
                                  <w:t xml:space="preserve"> Library</w:t>
                                </w:r>
                              </w:p>
                            </w:txbxContent>
                          </wps:txbx>
                          <wps:bodyPr rot="0" vert="horz" wrap="square" lIns="18000" tIns="18000" rIns="18000" bIns="18000" anchor="t" anchorCtr="0" upright="1">
                            <a:noAutofit/>
                          </wps:bodyPr>
                        </wps:wsp>
                        <wps:wsp>
                          <wps:cNvPr id="40" name="Text Box 34"/>
                          <wps:cNvSpPr txBox="1">
                            <a:spLocks noChangeArrowheads="1"/>
                          </wps:cNvSpPr>
                          <wps:spPr bwMode="auto">
                            <a:xfrm>
                              <a:off x="3717" y="744"/>
                              <a:ext cx="1260" cy="720"/>
                            </a:xfrm>
                            <a:prstGeom prst="rect">
                              <a:avLst/>
                            </a:prstGeom>
                            <a:solidFill>
                              <a:srgbClr val="FFFFFF"/>
                            </a:solidFill>
                            <a:ln w="9525">
                              <a:solidFill>
                                <a:srgbClr val="000000"/>
                              </a:solidFill>
                              <a:miter lim="800000"/>
                              <a:headEnd/>
                              <a:tailEnd/>
                            </a:ln>
                          </wps:spPr>
                          <wps:txbx>
                            <w:txbxContent>
                              <w:p w14:paraId="3D870D2C" w14:textId="77777777" w:rsidR="005D472B" w:rsidRPr="00350245" w:rsidRDefault="005D472B" w:rsidP="00AF6E96">
                                <w:pPr>
                                  <w:jc w:val="center"/>
                                  <w:rPr>
                                    <w:rFonts w:cstheme="minorHAnsi"/>
                                    <w:sz w:val="20"/>
                                    <w:szCs w:val="20"/>
                                  </w:rPr>
                                </w:pPr>
                                <w:r w:rsidRPr="00350245">
                                  <w:rPr>
                                    <w:rFonts w:cstheme="minorHAnsi"/>
                                    <w:sz w:val="20"/>
                                    <w:szCs w:val="20"/>
                                  </w:rPr>
                                  <w:t>DARE, NHS EED and HTA</w:t>
                                </w:r>
                              </w:p>
                            </w:txbxContent>
                          </wps:txbx>
                          <wps:bodyPr rot="0" vert="horz" wrap="square" lIns="18000" tIns="18000" rIns="18000" bIns="18000" anchor="t" anchorCtr="0" upright="1">
                            <a:noAutofit/>
                          </wps:bodyPr>
                        </wps:wsp>
                        <wps:wsp>
                          <wps:cNvPr id="42" name="Line 35"/>
                          <wps:cNvCnPr/>
                          <wps:spPr bwMode="auto">
                            <a:xfrm>
                              <a:off x="1060" y="145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37"/>
                          <wps:cNvCnPr/>
                          <wps:spPr bwMode="auto">
                            <a:xfrm>
                              <a:off x="2911" y="146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38"/>
                          <wps:cNvCnPr/>
                          <wps:spPr bwMode="auto">
                            <a:xfrm>
                              <a:off x="6300" y="1452"/>
                              <a:ext cx="0" cy="4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39"/>
                          <wps:cNvSpPr txBox="1">
                            <a:spLocks noChangeArrowheads="1"/>
                          </wps:cNvSpPr>
                          <wps:spPr bwMode="auto">
                            <a:xfrm>
                              <a:off x="5236" y="744"/>
                              <a:ext cx="1784" cy="720"/>
                            </a:xfrm>
                            <a:prstGeom prst="rect">
                              <a:avLst/>
                            </a:prstGeom>
                            <a:solidFill>
                              <a:srgbClr val="FFFFFF"/>
                            </a:solidFill>
                            <a:ln w="9525">
                              <a:solidFill>
                                <a:srgbClr val="000000"/>
                              </a:solidFill>
                              <a:miter lim="800000"/>
                              <a:headEnd/>
                              <a:tailEnd/>
                            </a:ln>
                          </wps:spPr>
                          <wps:txbx>
                            <w:txbxContent>
                              <w:p w14:paraId="01111DA4" w14:textId="77777777" w:rsidR="005D472B" w:rsidRPr="00350245" w:rsidRDefault="005D472B" w:rsidP="00AF6E96">
                                <w:pPr>
                                  <w:jc w:val="center"/>
                                  <w:rPr>
                                    <w:rFonts w:cstheme="minorHAnsi"/>
                                    <w:sz w:val="20"/>
                                    <w:szCs w:val="20"/>
                                  </w:rPr>
                                </w:pPr>
                                <w:r w:rsidRPr="00350245">
                                  <w:rPr>
                                    <w:rFonts w:cstheme="minorHAnsi"/>
                                    <w:sz w:val="20"/>
                                    <w:szCs w:val="20"/>
                                  </w:rPr>
                                  <w:t>Handsearch, Reference lists and other sources</w:t>
                                </w:r>
                              </w:p>
                            </w:txbxContent>
                          </wps:txbx>
                          <wps:bodyPr rot="0" vert="horz" wrap="square" lIns="18000" tIns="18000" rIns="18000" bIns="18000" anchor="t" anchorCtr="0" upright="1">
                            <a:noAutofit/>
                          </wps:bodyPr>
                        </wps:wsp>
                        <wps:wsp>
                          <wps:cNvPr id="46" name="Line 40"/>
                          <wps:cNvCnPr/>
                          <wps:spPr bwMode="auto">
                            <a:xfrm>
                              <a:off x="4378" y="146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37"/>
                          <wps:cNvCnPr/>
                          <wps:spPr bwMode="auto">
                            <a:xfrm>
                              <a:off x="2809" y="3267"/>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37"/>
                          <wps:cNvCnPr/>
                          <wps:spPr bwMode="auto">
                            <a:xfrm>
                              <a:off x="2809" y="5091"/>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37"/>
                          <wps:cNvCnPr/>
                          <wps:spPr bwMode="auto">
                            <a:xfrm>
                              <a:off x="3517" y="6913"/>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7D080D06" id="Group 27" o:spid="_x0000_s1026" style="width:382.1pt;height:524.5pt;mso-position-horizontal-relative:char;mso-position-vertical-relative:line" coordsize="7020,8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">
                <v:shapetype id="_x0000_t202" coordsize="21600,21600" o:spt="202" path="m,l,21600r21600,l21600,xe">
                  <v:stroke joinstyle="miter"/>
                  <v:path gradientshapeok="t" o:connecttype="rect"/>
                </v:shapetype>
                <v:shape id="Text Box 3" o:spid="_x0000_s1027" type="#_x0000_t202" style="position:absolute;width:702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" fillcolor="#f2f2f2">
                  <v:textbox inset=",.5mm,,.5mm">
                    <w:txbxContent>
                      <w:p w14:paraId="50A3B41A" w14:textId="77777777" w:rsidR="005D472B" w:rsidRPr="00350245" w:rsidRDefault="005D472B" w:rsidP="00AF6E96">
                        <w:pPr>
                          <w:jc w:val="center"/>
                          <w:rPr>
                            <w:rFonts w:cstheme="minorHAnsi"/>
                            <w:sz w:val="24"/>
                            <w:szCs w:val="24"/>
                          </w:rPr>
                        </w:pPr>
                        <w:r w:rsidRPr="00350245">
                          <w:rPr>
                            <w:rFonts w:cstheme="minorHAnsi"/>
                            <w:sz w:val="24"/>
                            <w:szCs w:val="24"/>
                          </w:rPr>
                          <w:t>Phase I:</w:t>
                        </w:r>
                      </w:p>
                      <w:p w14:paraId="33412396" w14:textId="77777777" w:rsidR="005D472B" w:rsidRPr="00350245" w:rsidRDefault="005D472B" w:rsidP="00AF6E96">
                        <w:pPr>
                          <w:jc w:val="center"/>
                          <w:rPr>
                            <w:rFonts w:cstheme="minorHAnsi"/>
                            <w:sz w:val="24"/>
                            <w:szCs w:val="24"/>
                          </w:rPr>
                        </w:pPr>
                        <w:r w:rsidRPr="00350245">
                          <w:rPr>
                            <w:rFonts w:cstheme="minorHAnsi"/>
                            <w:sz w:val="24"/>
                            <w:szCs w:val="24"/>
                          </w:rPr>
                          <w:t>Search (databases, handsearch &amp; search for unpublished studies)</w:t>
                        </w:r>
                      </w:p>
                    </w:txbxContent>
                  </v:textbox>
                </v:shape>
                <v:shape id="Text Box 4" o:spid="_x0000_s1028" type="#_x0000_t202" style="position:absolute;top:2530;width:558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" fillcolor="#f2f2f2">
                  <v:textbox inset=",.5mm,,.5mm">
                    <w:txbxContent>
                      <w:p w14:paraId="64FEF8AC" w14:textId="77777777" w:rsidR="005D472B" w:rsidRPr="00350245" w:rsidRDefault="005D472B" w:rsidP="00AF6E96">
                        <w:pPr>
                          <w:jc w:val="center"/>
                          <w:rPr>
                            <w:rFonts w:cstheme="minorHAnsi"/>
                            <w:sz w:val="24"/>
                            <w:szCs w:val="24"/>
                          </w:rPr>
                        </w:pPr>
                        <w:r w:rsidRPr="00350245">
                          <w:rPr>
                            <w:rFonts w:cstheme="minorHAnsi"/>
                            <w:sz w:val="24"/>
                            <w:szCs w:val="24"/>
                          </w:rPr>
                          <w:t>Phase II:</w:t>
                        </w:r>
                      </w:p>
                      <w:p w14:paraId="2496CDC1" w14:textId="77777777" w:rsidR="005D472B" w:rsidRPr="00350245" w:rsidRDefault="005D472B" w:rsidP="00AF6E96">
                        <w:pPr>
                          <w:jc w:val="center"/>
                          <w:rPr>
                            <w:rFonts w:cstheme="minorHAnsi"/>
                            <w:sz w:val="24"/>
                            <w:szCs w:val="24"/>
                          </w:rPr>
                        </w:pPr>
                        <w:r w:rsidRPr="00350245">
                          <w:rPr>
                            <w:rFonts w:cstheme="minorHAnsi"/>
                            <w:sz w:val="24"/>
                            <w:szCs w:val="24"/>
                          </w:rPr>
                          <w:t>Title &amp; abstract review</w:t>
                        </w:r>
                      </w:p>
                    </w:txbxContent>
                  </v:textbox>
                </v:shape>
                <v:shape id="Text Box 5" o:spid="_x0000_s1029" type="#_x0000_t202" style="position:absolute;top:4354;width:558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" fillcolor="#f2f2f2">
                  <v:textbox inset=",.5mm,,.5mm">
                    <w:txbxContent>
                      <w:p w14:paraId="486034D6" w14:textId="77777777" w:rsidR="005D472B" w:rsidRPr="00350245" w:rsidRDefault="005D472B" w:rsidP="00AF6E96">
                        <w:pPr>
                          <w:jc w:val="center"/>
                          <w:rPr>
                            <w:rFonts w:cstheme="minorHAnsi"/>
                            <w:sz w:val="24"/>
                            <w:szCs w:val="24"/>
                          </w:rPr>
                        </w:pPr>
                        <w:r w:rsidRPr="00350245">
                          <w:rPr>
                            <w:rFonts w:cstheme="minorHAnsi"/>
                            <w:sz w:val="24"/>
                            <w:szCs w:val="24"/>
                          </w:rPr>
                          <w:t>Phase III:</w:t>
                        </w:r>
                      </w:p>
                      <w:p w14:paraId="2DD7D9C6" w14:textId="77777777" w:rsidR="005D472B" w:rsidRPr="00350245" w:rsidRDefault="005D472B" w:rsidP="00AF6E96">
                        <w:pPr>
                          <w:jc w:val="center"/>
                          <w:rPr>
                            <w:rFonts w:cstheme="minorHAnsi"/>
                            <w:sz w:val="24"/>
                            <w:szCs w:val="24"/>
                          </w:rPr>
                        </w:pPr>
                        <w:r w:rsidRPr="00350245">
                          <w:rPr>
                            <w:rFonts w:cstheme="minorHAnsi"/>
                            <w:sz w:val="24"/>
                            <w:szCs w:val="24"/>
                          </w:rPr>
                          <w:t>Remove duplicate</w:t>
                        </w:r>
                      </w:p>
                    </w:txbxContent>
                  </v:textbox>
                </v:shape>
                <v:shape id="Text Box 6" o:spid="_x0000_s1030" type="#_x0000_t202" style="position:absolute;top:6176;width:702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" fillcolor="#f2f2f2">
                  <v:textbox inset=",.5mm,,.5mm">
                    <w:txbxContent>
                      <w:p w14:paraId="4CCA4736" w14:textId="77777777" w:rsidR="005D472B" w:rsidRPr="00350245" w:rsidRDefault="005D472B" w:rsidP="00AF6E96">
                        <w:pPr>
                          <w:jc w:val="center"/>
                          <w:rPr>
                            <w:rFonts w:cstheme="minorHAnsi"/>
                            <w:sz w:val="24"/>
                            <w:szCs w:val="24"/>
                          </w:rPr>
                        </w:pPr>
                        <w:r w:rsidRPr="00350245">
                          <w:rPr>
                            <w:rFonts w:cstheme="minorHAnsi"/>
                            <w:sz w:val="24"/>
                            <w:szCs w:val="24"/>
                          </w:rPr>
                          <w:t>Phase IV:</w:t>
                        </w:r>
                      </w:p>
                      <w:p w14:paraId="071ACAFF" w14:textId="77777777" w:rsidR="005D472B" w:rsidRPr="00350245" w:rsidRDefault="005D472B" w:rsidP="00AF6E96">
                        <w:pPr>
                          <w:jc w:val="center"/>
                          <w:rPr>
                            <w:rFonts w:cstheme="minorHAnsi"/>
                            <w:sz w:val="24"/>
                            <w:szCs w:val="24"/>
                          </w:rPr>
                        </w:pPr>
                        <w:r w:rsidRPr="00350245">
                          <w:rPr>
                            <w:rFonts w:cstheme="minorHAnsi"/>
                            <w:sz w:val="24"/>
                            <w:szCs w:val="24"/>
                          </w:rPr>
                          <w:t>Full article review</w:t>
                        </w:r>
                      </w:p>
                    </w:txbxContent>
                  </v:textbox>
                </v:shape>
                <v:shape id="Text Box 7" o:spid="_x0000_s1031" type="#_x0000_t202" style="position:absolute;top:7993;width:702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" fillcolor="#f2f2f2">
                  <v:textbox inset=",.5mm,,.5mm">
                    <w:txbxContent>
                      <w:p w14:paraId="29EA4D17" w14:textId="77777777" w:rsidR="005D472B" w:rsidRPr="00350245" w:rsidRDefault="005D472B" w:rsidP="00AF6E96">
                        <w:pPr>
                          <w:jc w:val="center"/>
                          <w:rPr>
                            <w:rFonts w:cstheme="minorHAnsi"/>
                            <w:sz w:val="24"/>
                            <w:szCs w:val="24"/>
                          </w:rPr>
                        </w:pPr>
                        <w:r w:rsidRPr="00350245">
                          <w:rPr>
                            <w:rFonts w:cstheme="minorHAnsi"/>
                            <w:sz w:val="24"/>
                            <w:szCs w:val="24"/>
                          </w:rPr>
                          <w:t>Phase V:</w:t>
                        </w:r>
                      </w:p>
                      <w:p w14:paraId="1C9C2487" w14:textId="77777777" w:rsidR="005D472B" w:rsidRPr="00350245" w:rsidRDefault="005D472B" w:rsidP="00AF6E96">
                        <w:pPr>
                          <w:jc w:val="center"/>
                          <w:rPr>
                            <w:rFonts w:cstheme="minorHAnsi"/>
                            <w:sz w:val="24"/>
                            <w:szCs w:val="24"/>
                          </w:rPr>
                        </w:pPr>
                        <w:r>
                          <w:rPr>
                            <w:rFonts w:cstheme="minorHAnsi"/>
                            <w:sz w:val="24"/>
                            <w:szCs w:val="24"/>
                          </w:rPr>
                          <w:t>Applying inclusion and exclusion criteria</w:t>
                        </w:r>
                      </w:p>
                    </w:txbxContent>
                  </v:textbox>
                </v:shape>
                <v:group id="Group 35" o:spid="_x0000_s1032" style="position:absolute;top:744;width:7020;height:7249" coordorigin=",744" coordsize="7020,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31" o:spid="_x0000_s1033" type="#_x0000_t202" style="position:absolute;top:744;width:204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">
                    <v:textbox inset=".5mm,.5mm,.5mm,.5mm">
                      <w:txbxContent>
                        <w:p w14:paraId="2D321939" w14:textId="77777777" w:rsidR="005D472B" w:rsidRPr="00350245" w:rsidRDefault="005D472B" w:rsidP="00AF6E96">
                          <w:pPr>
                            <w:jc w:val="center"/>
                            <w:rPr>
                              <w:rFonts w:cstheme="minorHAnsi"/>
                              <w:sz w:val="20"/>
                              <w:szCs w:val="20"/>
                            </w:rPr>
                          </w:pPr>
                          <w:r w:rsidRPr="00350245">
                            <w:rPr>
                              <w:rFonts w:cstheme="minorHAnsi"/>
                              <w:sz w:val="20"/>
                              <w:szCs w:val="20"/>
                            </w:rPr>
                            <w:t xml:space="preserve">MEDLINE, EMBASE, AMED, BNI, CINAHL </w:t>
                          </w:r>
                          <w:r>
                            <w:rPr>
                              <w:rFonts w:cstheme="minorHAnsi"/>
                              <w:sz w:val="20"/>
                              <w:szCs w:val="20"/>
                            </w:rPr>
                            <w:t>and</w:t>
                          </w:r>
                          <w:r w:rsidRPr="00350245">
                            <w:rPr>
                              <w:rFonts w:cstheme="minorHAnsi"/>
                              <w:sz w:val="20"/>
                              <w:szCs w:val="20"/>
                            </w:rPr>
                            <w:t xml:space="preserve"> Health Business Elite</w:t>
                          </w:r>
                        </w:p>
                      </w:txbxContent>
                    </v:textbox>
                  </v:shape>
                  <v:shape id="Text Box 33" o:spid="_x0000_s1034" type="#_x0000_t202" style="position:absolute;left:2257;top:744;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">
                    <v:textbox inset=".5mm,.5mm,.5mm,.5mm">
                      <w:txbxContent>
                        <w:p w14:paraId="75FE72CD" w14:textId="77777777" w:rsidR="005D472B" w:rsidRPr="00350245" w:rsidRDefault="005D472B" w:rsidP="00AF6E96">
                          <w:pPr>
                            <w:jc w:val="center"/>
                            <w:rPr>
                              <w:rFonts w:cstheme="minorHAnsi"/>
                              <w:sz w:val="20"/>
                              <w:szCs w:val="20"/>
                            </w:rPr>
                          </w:pPr>
                          <w:r w:rsidRPr="00350245">
                            <w:rPr>
                              <w:rFonts w:cstheme="minorHAnsi"/>
                              <w:sz w:val="20"/>
                              <w:szCs w:val="20"/>
                            </w:rPr>
                            <w:t>Cochrane</w:t>
                          </w:r>
                          <w:r>
                            <w:rPr>
                              <w:rFonts w:cstheme="minorHAnsi"/>
                              <w:sz w:val="20"/>
                              <w:szCs w:val="20"/>
                            </w:rPr>
                            <w:t xml:space="preserve"> Library</w:t>
                          </w:r>
                        </w:p>
                      </w:txbxContent>
                    </v:textbox>
                  </v:shape>
                  <v:shape id="Text Box 34" o:spid="_x0000_s1035" type="#_x0000_t202" style="position:absolute;left:3717;top:744;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">
                    <v:textbox inset=".5mm,.5mm,.5mm,.5mm">
                      <w:txbxContent>
                        <w:p w14:paraId="3D870D2C" w14:textId="77777777" w:rsidR="005D472B" w:rsidRPr="00350245" w:rsidRDefault="005D472B" w:rsidP="00AF6E96">
                          <w:pPr>
                            <w:jc w:val="center"/>
                            <w:rPr>
                              <w:rFonts w:cstheme="minorHAnsi"/>
                              <w:sz w:val="20"/>
                              <w:szCs w:val="20"/>
                            </w:rPr>
                          </w:pPr>
                          <w:r w:rsidRPr="00350245">
                            <w:rPr>
                              <w:rFonts w:cstheme="minorHAnsi"/>
                              <w:sz w:val="20"/>
                              <w:szCs w:val="20"/>
                            </w:rPr>
                            <w:t>DARE, NHS EED and HTA</w:t>
                          </w:r>
                        </w:p>
                      </w:txbxContent>
                    </v:textbox>
                  </v:shape>
                  <v:line id="Line 35" o:spid="_x0000_s1036" style="position:absolute;visibility:visible;mso-wrap-style:square" from="1060,1450" to="106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37" o:spid="_x0000_s1037" style="position:absolute;visibility:visible;mso-wrap-style:square" from="2911,1464" to="29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38" o:spid="_x0000_s1038" style="position:absolute;visibility:visible;mso-wrap-style:square" from="6300,1452" to="6300,6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shape id="Text Box 39" o:spid="_x0000_s1039" type="#_x0000_t202" style="position:absolute;left:5236;top:744;width:178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">
                    <v:textbox inset=".5mm,.5mm,.5mm,.5mm">
                      <w:txbxContent>
                        <w:p w14:paraId="01111DA4" w14:textId="77777777" w:rsidR="005D472B" w:rsidRPr="00350245" w:rsidRDefault="005D472B" w:rsidP="00AF6E96">
                          <w:pPr>
                            <w:jc w:val="center"/>
                            <w:rPr>
                              <w:rFonts w:cstheme="minorHAnsi"/>
                              <w:sz w:val="20"/>
                              <w:szCs w:val="20"/>
                            </w:rPr>
                          </w:pPr>
                          <w:r w:rsidRPr="00350245">
                            <w:rPr>
                              <w:rFonts w:cstheme="minorHAnsi"/>
                              <w:sz w:val="20"/>
                              <w:szCs w:val="20"/>
                            </w:rPr>
                            <w:t>Handsearch, Reference lists and other sources</w:t>
                          </w:r>
                        </w:p>
                      </w:txbxContent>
                    </v:textbox>
                  </v:shape>
                  <v:line id="Line 40" o:spid="_x0000_s1040" style="position:absolute;visibility:visible;mso-wrap-style:square" from="4378,1464" to="4378,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37" o:spid="_x0000_s1041" style="position:absolute;visibility:visible;mso-wrap-style:square" from="2809,3267" to="2809,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37" o:spid="_x0000_s1042" style="position:absolute;visibility:visible;mso-wrap-style:square" from="2809,5091" to="2809,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37" o:spid="_x0000_s1043" style="position:absolute;visibility:visible;mso-wrap-style:square" from="3517,6913" to="3517,7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group>
                <w10:anchorlock/>
              </v:group>
            </w:pict>
          </mc:Fallback>
        </mc:AlternateContent>
      </w:r>
    </w:p>
    <w:p w14:paraId="32E069A9" w14:textId="48C8D23E" w:rsidR="006D7A21" w:rsidRDefault="00AF6E96" w:rsidP="00AF6E96">
      <w:pPr>
        <w:rPr>
          <w:rFonts w:eastAsia="Times New Roman" w:cstheme="minorHAnsi"/>
          <w:b/>
          <w:smallCaps/>
          <w:color w:val="1F497D"/>
          <w:sz w:val="24"/>
          <w:szCs w:val="24"/>
          <w:lang w:val="en-US"/>
        </w:rPr>
      </w:pPr>
      <w:r>
        <w:rPr>
          <w:rFonts w:eastAsia="Times New Roman" w:cstheme="minorHAnsi"/>
          <w:b/>
          <w:smallCaps/>
          <w:color w:val="1F497D"/>
          <w:sz w:val="24"/>
          <w:szCs w:val="24"/>
          <w:lang w:val="en-US"/>
        </w:rPr>
        <w:br w:type="page"/>
      </w:r>
    </w:p>
    <w:p w14:paraId="5EDB1F23" w14:textId="3575AB3E" w:rsidR="0002286D" w:rsidRPr="00B22921" w:rsidRDefault="00AF6E96" w:rsidP="00AF6E96">
      <w:pPr>
        <w:rPr>
          <w:lang w:val="en-US"/>
        </w:rPr>
      </w:pPr>
      <w:bookmarkStart w:id="42" w:name="_Toc396767039"/>
      <w:r>
        <w:rPr>
          <w:lang w:val="en-US"/>
        </w:rPr>
        <w:lastRenderedPageBreak/>
        <w:t>T</w:t>
      </w:r>
      <w:r w:rsidR="00B042E7">
        <w:rPr>
          <w:lang w:val="en-US"/>
        </w:rPr>
        <w:t xml:space="preserve">able </w:t>
      </w:r>
      <w:r>
        <w:rPr>
          <w:lang w:val="en-US"/>
        </w:rPr>
        <w:t>1</w:t>
      </w:r>
      <w:r w:rsidR="0002286D" w:rsidRPr="00B22921">
        <w:rPr>
          <w:lang w:val="en-US"/>
        </w:rPr>
        <w:t xml:space="preserve"> – Number in identified </w:t>
      </w:r>
      <w:r w:rsidR="00DE21E6" w:rsidRPr="00B22921">
        <w:rPr>
          <w:lang w:val="en-US"/>
        </w:rPr>
        <w:t>titles</w:t>
      </w:r>
      <w:r w:rsidR="0002286D" w:rsidRPr="00B22921">
        <w:rPr>
          <w:lang w:val="en-US"/>
        </w:rPr>
        <w:t xml:space="preserve"> in different databases</w:t>
      </w:r>
      <w:bookmarkEnd w:id="42"/>
    </w:p>
    <w:p w14:paraId="05355A18" w14:textId="77777777" w:rsidR="0002286D" w:rsidRDefault="0002286D" w:rsidP="00AF6E96">
      <w:pPr>
        <w:rPr>
          <w:rFonts w:cs="Calibri"/>
          <w:sz w:val="24"/>
          <w:szCs w:val="24"/>
        </w:rPr>
      </w:pPr>
    </w:p>
    <w:tbl>
      <w:tblPr>
        <w:tblStyle w:val="PlainTable31"/>
        <w:tblW w:w="0" w:type="auto"/>
        <w:tblLook w:val="04A0" w:firstRow="1" w:lastRow="0" w:firstColumn="1" w:lastColumn="0" w:noHBand="0" w:noVBand="1"/>
      </w:tblPr>
      <w:tblGrid>
        <w:gridCol w:w="6091"/>
        <w:gridCol w:w="2925"/>
      </w:tblGrid>
      <w:tr w:rsidR="0002286D" w14:paraId="6F426044" w14:textId="77777777" w:rsidTr="00B229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vAlign w:val="center"/>
          </w:tcPr>
          <w:p w14:paraId="017E07A4" w14:textId="28626F85" w:rsidR="0002286D" w:rsidRDefault="0002286D" w:rsidP="00AF6E96">
            <w:pPr>
              <w:rPr>
                <w:rFonts w:cs="Calibri"/>
                <w:sz w:val="24"/>
                <w:szCs w:val="24"/>
              </w:rPr>
            </w:pPr>
            <w:r>
              <w:rPr>
                <w:rFonts w:cs="Calibri"/>
                <w:sz w:val="24"/>
                <w:szCs w:val="24"/>
              </w:rPr>
              <w:t>Database</w:t>
            </w:r>
          </w:p>
        </w:tc>
        <w:tc>
          <w:tcPr>
            <w:tcW w:w="2925" w:type="dxa"/>
            <w:vAlign w:val="center"/>
          </w:tcPr>
          <w:p w14:paraId="5AF7CB62" w14:textId="635D09FF" w:rsidR="0002286D" w:rsidRDefault="0002286D" w:rsidP="00AF6E96">
            <w:pPr>
              <w:cnfStyle w:val="100000000000" w:firstRow="1"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Number of identified titles</w:t>
            </w:r>
          </w:p>
        </w:tc>
      </w:tr>
      <w:tr w:rsidR="0002286D" w14:paraId="4D17B76E" w14:textId="77777777" w:rsidTr="00B2292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60740B0F" w14:textId="2E77F370" w:rsidR="0002286D" w:rsidRDefault="0002286D" w:rsidP="00AF6E96">
            <w:pPr>
              <w:rPr>
                <w:rFonts w:cs="Calibri"/>
                <w:sz w:val="24"/>
                <w:szCs w:val="24"/>
              </w:rPr>
            </w:pPr>
            <w:r w:rsidRPr="00A96145">
              <w:rPr>
                <w:rFonts w:cs="Calibri"/>
                <w:sz w:val="24"/>
                <w:szCs w:val="24"/>
              </w:rPr>
              <w:t>Medline</w:t>
            </w:r>
          </w:p>
        </w:tc>
        <w:tc>
          <w:tcPr>
            <w:tcW w:w="2925" w:type="dxa"/>
            <w:vAlign w:val="center"/>
          </w:tcPr>
          <w:p w14:paraId="5ED9301D" w14:textId="3A5A0B89" w:rsidR="0002286D" w:rsidRDefault="0002286D" w:rsidP="00AF6E96">
            <w:pPr>
              <w:cnfStyle w:val="000000100000" w:firstRow="0" w:lastRow="0" w:firstColumn="0" w:lastColumn="0" w:oddVBand="0" w:evenVBand="0" w:oddHBand="1" w:evenHBand="0" w:firstRowFirstColumn="0" w:firstRowLastColumn="0" w:lastRowFirstColumn="0" w:lastRowLastColumn="0"/>
              <w:rPr>
                <w:rFonts w:cs="Calibri"/>
                <w:sz w:val="24"/>
                <w:szCs w:val="24"/>
              </w:rPr>
            </w:pPr>
            <w:r>
              <w:rPr>
                <w:rFonts w:cs="Calibri"/>
                <w:sz w:val="24"/>
                <w:szCs w:val="24"/>
              </w:rPr>
              <w:t>83 titles</w:t>
            </w:r>
          </w:p>
        </w:tc>
      </w:tr>
      <w:tr w:rsidR="0002286D" w14:paraId="17A817C3" w14:textId="77777777" w:rsidTr="00B22921">
        <w:trPr>
          <w:trHeight w:val="567"/>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2EA44F3" w14:textId="4AC2E687" w:rsidR="0002286D" w:rsidRDefault="0002286D" w:rsidP="00AF6E96">
            <w:pPr>
              <w:rPr>
                <w:rFonts w:cs="Calibri"/>
                <w:sz w:val="24"/>
                <w:szCs w:val="24"/>
              </w:rPr>
            </w:pPr>
            <w:r w:rsidRPr="000D213A">
              <w:rPr>
                <w:rFonts w:cs="Calibri"/>
                <w:sz w:val="24"/>
                <w:szCs w:val="24"/>
              </w:rPr>
              <w:t>EMBASE</w:t>
            </w:r>
          </w:p>
        </w:tc>
        <w:tc>
          <w:tcPr>
            <w:tcW w:w="2925" w:type="dxa"/>
            <w:vAlign w:val="center"/>
          </w:tcPr>
          <w:p w14:paraId="006401DC" w14:textId="46F76E82" w:rsidR="0002286D" w:rsidRDefault="0002286D" w:rsidP="00AF6E96">
            <w:pPr>
              <w:cnfStyle w:val="000000000000" w:firstRow="0"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99 titles</w:t>
            </w:r>
          </w:p>
        </w:tc>
      </w:tr>
      <w:tr w:rsidR="0002286D" w14:paraId="3348E4AF" w14:textId="77777777" w:rsidTr="00B2292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6D5A7E61" w14:textId="5CC5BB20" w:rsidR="0002286D" w:rsidRDefault="0002286D" w:rsidP="00AF6E96">
            <w:pPr>
              <w:rPr>
                <w:rFonts w:cs="Calibri"/>
                <w:sz w:val="24"/>
                <w:szCs w:val="24"/>
              </w:rPr>
            </w:pPr>
            <w:r>
              <w:rPr>
                <w:rFonts w:cs="Calibri"/>
                <w:sz w:val="24"/>
                <w:szCs w:val="24"/>
              </w:rPr>
              <w:t>AMED</w:t>
            </w:r>
          </w:p>
        </w:tc>
        <w:tc>
          <w:tcPr>
            <w:tcW w:w="2925" w:type="dxa"/>
            <w:vAlign w:val="center"/>
          </w:tcPr>
          <w:p w14:paraId="43AF331E" w14:textId="09D44ADB" w:rsidR="0002286D" w:rsidRDefault="0002286D" w:rsidP="00AF6E96">
            <w:pPr>
              <w:cnfStyle w:val="000000100000" w:firstRow="0" w:lastRow="0" w:firstColumn="0" w:lastColumn="0" w:oddVBand="0" w:evenVBand="0" w:oddHBand="1" w:evenHBand="0" w:firstRowFirstColumn="0" w:firstRowLastColumn="0" w:lastRowFirstColumn="0" w:lastRowLastColumn="0"/>
              <w:rPr>
                <w:rFonts w:cs="Calibri"/>
                <w:sz w:val="24"/>
                <w:szCs w:val="24"/>
              </w:rPr>
            </w:pPr>
            <w:r>
              <w:rPr>
                <w:rFonts w:cs="Calibri"/>
                <w:sz w:val="24"/>
                <w:szCs w:val="24"/>
              </w:rPr>
              <w:t>3 titles</w:t>
            </w:r>
          </w:p>
        </w:tc>
      </w:tr>
      <w:tr w:rsidR="0002286D" w14:paraId="15FAE28C" w14:textId="77777777" w:rsidTr="00B22921">
        <w:trPr>
          <w:trHeight w:val="567"/>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63D8EFAC" w14:textId="027E8041" w:rsidR="0002286D" w:rsidRDefault="0002286D" w:rsidP="00AF6E96">
            <w:pPr>
              <w:rPr>
                <w:rFonts w:cs="Calibri"/>
                <w:sz w:val="24"/>
                <w:szCs w:val="24"/>
              </w:rPr>
            </w:pPr>
            <w:r>
              <w:rPr>
                <w:rFonts w:cs="Calibri"/>
                <w:sz w:val="24"/>
                <w:szCs w:val="24"/>
              </w:rPr>
              <w:t>BNI</w:t>
            </w:r>
          </w:p>
        </w:tc>
        <w:tc>
          <w:tcPr>
            <w:tcW w:w="2925" w:type="dxa"/>
            <w:vAlign w:val="center"/>
          </w:tcPr>
          <w:p w14:paraId="146F8981" w14:textId="64E11FCD" w:rsidR="0002286D" w:rsidRDefault="0002286D" w:rsidP="00AF6E96">
            <w:pPr>
              <w:cnfStyle w:val="000000000000" w:firstRow="0"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4 titles</w:t>
            </w:r>
          </w:p>
        </w:tc>
      </w:tr>
      <w:tr w:rsidR="0002286D" w14:paraId="1685E913" w14:textId="77777777" w:rsidTr="00B2292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2C90DFAF" w14:textId="2214A26B" w:rsidR="0002286D" w:rsidRDefault="0002286D" w:rsidP="00AF6E96">
            <w:pPr>
              <w:rPr>
                <w:rFonts w:cs="Calibri"/>
                <w:sz w:val="24"/>
                <w:szCs w:val="24"/>
              </w:rPr>
            </w:pPr>
            <w:r w:rsidRPr="00A96145">
              <w:rPr>
                <w:rFonts w:cs="Calibri"/>
                <w:sz w:val="24"/>
                <w:szCs w:val="24"/>
              </w:rPr>
              <w:t>CINAHL</w:t>
            </w:r>
          </w:p>
        </w:tc>
        <w:tc>
          <w:tcPr>
            <w:tcW w:w="2925" w:type="dxa"/>
            <w:vAlign w:val="center"/>
          </w:tcPr>
          <w:p w14:paraId="4CE20927" w14:textId="59BD4785" w:rsidR="0002286D" w:rsidRDefault="0002286D" w:rsidP="00AF6E96">
            <w:pPr>
              <w:cnfStyle w:val="000000100000" w:firstRow="0" w:lastRow="0" w:firstColumn="0" w:lastColumn="0" w:oddVBand="0" w:evenVBand="0" w:oddHBand="1" w:evenHBand="0" w:firstRowFirstColumn="0" w:firstRowLastColumn="0" w:lastRowFirstColumn="0" w:lastRowLastColumn="0"/>
              <w:rPr>
                <w:rFonts w:cs="Calibri"/>
                <w:sz w:val="24"/>
                <w:szCs w:val="24"/>
              </w:rPr>
            </w:pPr>
            <w:r>
              <w:rPr>
                <w:rFonts w:cs="Calibri"/>
                <w:sz w:val="24"/>
                <w:szCs w:val="24"/>
              </w:rPr>
              <w:t>34 titles</w:t>
            </w:r>
          </w:p>
        </w:tc>
      </w:tr>
      <w:tr w:rsidR="0002286D" w14:paraId="63D67D42" w14:textId="77777777" w:rsidTr="00B22921">
        <w:trPr>
          <w:trHeight w:val="567"/>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38F858ED" w14:textId="16D4C843" w:rsidR="0002286D" w:rsidRDefault="0002286D" w:rsidP="00AF6E96">
            <w:pPr>
              <w:rPr>
                <w:rFonts w:cs="Calibri"/>
                <w:sz w:val="24"/>
                <w:szCs w:val="24"/>
              </w:rPr>
            </w:pPr>
            <w:r w:rsidRPr="00634F31">
              <w:rPr>
                <w:rFonts w:cs="Calibri"/>
                <w:sz w:val="24"/>
                <w:szCs w:val="24"/>
              </w:rPr>
              <w:t>Health Business Elite</w:t>
            </w:r>
          </w:p>
        </w:tc>
        <w:tc>
          <w:tcPr>
            <w:tcW w:w="2925" w:type="dxa"/>
            <w:vAlign w:val="center"/>
          </w:tcPr>
          <w:p w14:paraId="2A784AB3" w14:textId="16487D9A" w:rsidR="0002286D" w:rsidRDefault="0002286D" w:rsidP="00AF6E96">
            <w:pPr>
              <w:cnfStyle w:val="000000000000" w:firstRow="0"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0 title</w:t>
            </w:r>
          </w:p>
        </w:tc>
      </w:tr>
      <w:tr w:rsidR="0002286D" w14:paraId="5EEDD583" w14:textId="77777777" w:rsidTr="00B2292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0AE7D64A" w14:textId="10D3C1FA" w:rsidR="0002286D" w:rsidRDefault="0002286D" w:rsidP="00AF6E96">
            <w:pPr>
              <w:rPr>
                <w:rFonts w:cs="Calibri"/>
                <w:sz w:val="24"/>
                <w:szCs w:val="24"/>
              </w:rPr>
            </w:pPr>
            <w:r w:rsidRPr="000D213A">
              <w:rPr>
                <w:rFonts w:cs="Calibri"/>
                <w:sz w:val="24"/>
                <w:szCs w:val="24"/>
              </w:rPr>
              <w:t>The Cochrane Library</w:t>
            </w:r>
          </w:p>
        </w:tc>
        <w:tc>
          <w:tcPr>
            <w:tcW w:w="2925" w:type="dxa"/>
            <w:vAlign w:val="center"/>
          </w:tcPr>
          <w:p w14:paraId="7B149039" w14:textId="5C7045B4" w:rsidR="0002286D" w:rsidRDefault="0002286D" w:rsidP="00AF6E96">
            <w:pPr>
              <w:cnfStyle w:val="000000100000" w:firstRow="0" w:lastRow="0" w:firstColumn="0" w:lastColumn="0" w:oddVBand="0" w:evenVBand="0" w:oddHBand="1" w:evenHBand="0" w:firstRowFirstColumn="0" w:firstRowLastColumn="0" w:lastRowFirstColumn="0" w:lastRowLastColumn="0"/>
              <w:rPr>
                <w:rFonts w:cs="Calibri"/>
                <w:sz w:val="24"/>
                <w:szCs w:val="24"/>
              </w:rPr>
            </w:pPr>
            <w:r>
              <w:rPr>
                <w:rFonts w:cs="Calibri"/>
                <w:sz w:val="24"/>
                <w:szCs w:val="24"/>
              </w:rPr>
              <w:t xml:space="preserve">27 </w:t>
            </w:r>
            <w:proofErr w:type="gramStart"/>
            <w:r>
              <w:rPr>
                <w:rFonts w:cs="Calibri"/>
                <w:sz w:val="24"/>
                <w:szCs w:val="24"/>
              </w:rPr>
              <w:t>title</w:t>
            </w:r>
            <w:proofErr w:type="gramEnd"/>
          </w:p>
        </w:tc>
      </w:tr>
      <w:tr w:rsidR="0002286D" w14:paraId="098EC0D2" w14:textId="77777777" w:rsidTr="00B22921">
        <w:trPr>
          <w:trHeight w:val="567"/>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EB36571" w14:textId="268FBA1E" w:rsidR="0002286D" w:rsidRDefault="0002286D" w:rsidP="00AF6E96">
            <w:pPr>
              <w:rPr>
                <w:rFonts w:cs="Calibri"/>
                <w:sz w:val="24"/>
                <w:szCs w:val="24"/>
              </w:rPr>
            </w:pPr>
            <w:r>
              <w:rPr>
                <w:rFonts w:cs="Calibri"/>
                <w:sz w:val="24"/>
                <w:szCs w:val="24"/>
              </w:rPr>
              <w:t xml:space="preserve">Searched on </w:t>
            </w:r>
            <w:r w:rsidRPr="008578B6">
              <w:rPr>
                <w:rFonts w:cs="Calibri"/>
                <w:sz w:val="24"/>
                <w:szCs w:val="24"/>
              </w:rPr>
              <w:t>CRD</w:t>
            </w:r>
            <w:r>
              <w:rPr>
                <w:rFonts w:cs="Calibri"/>
                <w:sz w:val="24"/>
                <w:szCs w:val="24"/>
              </w:rPr>
              <w:t xml:space="preserve"> website (</w:t>
            </w:r>
            <w:r w:rsidRPr="00CD0A6A">
              <w:rPr>
                <w:rFonts w:cs="Calibri"/>
                <w:sz w:val="24"/>
                <w:szCs w:val="24"/>
              </w:rPr>
              <w:t>DARE</w:t>
            </w:r>
            <w:r>
              <w:rPr>
                <w:rFonts w:cs="Calibri"/>
                <w:sz w:val="24"/>
                <w:szCs w:val="24"/>
              </w:rPr>
              <w:t xml:space="preserve">, </w:t>
            </w:r>
            <w:r w:rsidRPr="00CD0A6A">
              <w:rPr>
                <w:rFonts w:cs="Calibri"/>
                <w:sz w:val="24"/>
                <w:szCs w:val="24"/>
              </w:rPr>
              <w:t>NHS EED</w:t>
            </w:r>
            <w:r>
              <w:rPr>
                <w:rFonts w:cs="Calibri"/>
                <w:sz w:val="24"/>
                <w:szCs w:val="24"/>
              </w:rPr>
              <w:t xml:space="preserve"> and HTA databases)</w:t>
            </w:r>
          </w:p>
        </w:tc>
        <w:tc>
          <w:tcPr>
            <w:tcW w:w="2925" w:type="dxa"/>
            <w:vAlign w:val="center"/>
          </w:tcPr>
          <w:p w14:paraId="2347838F" w14:textId="4B961141" w:rsidR="0002286D" w:rsidRDefault="0002286D" w:rsidP="00AF6E96">
            <w:pPr>
              <w:cnfStyle w:val="000000000000" w:firstRow="0"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4 titles</w:t>
            </w:r>
          </w:p>
        </w:tc>
      </w:tr>
    </w:tbl>
    <w:p w14:paraId="36A7866F" w14:textId="77777777" w:rsidR="0002286D" w:rsidRDefault="0002286D" w:rsidP="00AF6E96">
      <w:pPr>
        <w:rPr>
          <w:rFonts w:cs="Calibri"/>
          <w:sz w:val="24"/>
          <w:szCs w:val="24"/>
        </w:rPr>
      </w:pPr>
    </w:p>
    <w:p w14:paraId="04576F46" w14:textId="7EC97AEF" w:rsidR="007F49BF" w:rsidRDefault="007F49BF" w:rsidP="00AF6E96">
      <w:pPr>
        <w:rPr>
          <w:rFonts w:eastAsia="Times New Roman" w:cstheme="minorHAnsi"/>
          <w:b/>
          <w:smallCaps/>
          <w:color w:val="1F497D"/>
          <w:sz w:val="24"/>
          <w:szCs w:val="24"/>
          <w:lang w:val="en-US"/>
        </w:rPr>
      </w:pPr>
      <w:r>
        <w:rPr>
          <w:rFonts w:eastAsia="Times New Roman" w:cstheme="minorHAnsi"/>
          <w:b/>
          <w:smallCaps/>
          <w:color w:val="1F497D"/>
          <w:sz w:val="24"/>
          <w:szCs w:val="24"/>
          <w:lang w:val="en-US"/>
        </w:rPr>
        <w:br w:type="page"/>
      </w:r>
    </w:p>
    <w:p w14:paraId="77FDB804" w14:textId="77777777" w:rsidR="00675D6B" w:rsidRDefault="00675D6B" w:rsidP="00AF6E96">
      <w:pPr>
        <w:rPr>
          <w:rFonts w:eastAsia="Times New Roman" w:cstheme="minorHAnsi"/>
          <w:b/>
          <w:smallCaps/>
          <w:color w:val="1F497D"/>
          <w:sz w:val="24"/>
          <w:szCs w:val="24"/>
          <w:lang w:val="en-US"/>
        </w:rPr>
        <w:sectPr w:rsidR="00675D6B" w:rsidSect="00920B8B">
          <w:footerReference w:type="default" r:id="rId11"/>
          <w:pgSz w:w="11906" w:h="16838"/>
          <w:pgMar w:top="1440" w:right="1440" w:bottom="1440" w:left="1440" w:header="709" w:footer="709" w:gutter="0"/>
          <w:pgNumType w:start="1"/>
          <w:cols w:space="708"/>
          <w:docGrid w:linePitch="360"/>
        </w:sectPr>
      </w:pPr>
    </w:p>
    <w:p w14:paraId="7921D46F" w14:textId="5D06B06F" w:rsidR="00675D6B" w:rsidRPr="00E07C42" w:rsidRDefault="00B042E7" w:rsidP="00AF6E96">
      <w:pPr>
        <w:rPr>
          <w:lang w:val="en-US"/>
        </w:rPr>
      </w:pPr>
      <w:bookmarkStart w:id="43" w:name="_Toc396767040"/>
      <w:r>
        <w:rPr>
          <w:lang w:val="en-US"/>
        </w:rPr>
        <w:lastRenderedPageBreak/>
        <w:t xml:space="preserve">Table </w:t>
      </w:r>
      <w:r w:rsidR="00AF6E96">
        <w:rPr>
          <w:lang w:val="en-US"/>
        </w:rPr>
        <w:t>2</w:t>
      </w:r>
      <w:r w:rsidR="00675D6B">
        <w:rPr>
          <w:lang w:val="en-US"/>
        </w:rPr>
        <w:t xml:space="preserve"> - </w:t>
      </w:r>
      <w:r w:rsidR="00675D6B" w:rsidRPr="00675D6B">
        <w:rPr>
          <w:lang w:val="en-US"/>
        </w:rPr>
        <w:t>Criteria of potentially included studies:</w:t>
      </w:r>
      <w:bookmarkEnd w:id="43"/>
    </w:p>
    <w:p w14:paraId="21DF9F09" w14:textId="77777777" w:rsidR="00675D6B" w:rsidRPr="00377DF8" w:rsidRDefault="00675D6B" w:rsidP="00AF6E96">
      <w:pPr>
        <w:rPr>
          <w:rFonts w:cstheme="minorHAnsi"/>
        </w:rPr>
      </w:pPr>
    </w:p>
    <w:tbl>
      <w:tblPr>
        <w:tblStyle w:val="TableGrid"/>
        <w:tblW w:w="15309" w:type="dxa"/>
        <w:tblInd w:w="-572" w:type="dxa"/>
        <w:tblLayout w:type="fixed"/>
        <w:tblLook w:val="04A0" w:firstRow="1" w:lastRow="0" w:firstColumn="1" w:lastColumn="0" w:noHBand="0" w:noVBand="1"/>
      </w:tblPr>
      <w:tblGrid>
        <w:gridCol w:w="1418"/>
        <w:gridCol w:w="992"/>
        <w:gridCol w:w="851"/>
        <w:gridCol w:w="1134"/>
        <w:gridCol w:w="2126"/>
        <w:gridCol w:w="1417"/>
        <w:gridCol w:w="1418"/>
        <w:gridCol w:w="992"/>
        <w:gridCol w:w="1985"/>
        <w:gridCol w:w="850"/>
        <w:gridCol w:w="1134"/>
        <w:gridCol w:w="992"/>
      </w:tblGrid>
      <w:tr w:rsidR="00675D6B" w:rsidRPr="008D5C9E" w14:paraId="1DE75CBC" w14:textId="77777777" w:rsidTr="00BC5ABA">
        <w:tc>
          <w:tcPr>
            <w:tcW w:w="1418" w:type="dxa"/>
          </w:tcPr>
          <w:p w14:paraId="56BF165E" w14:textId="77777777" w:rsidR="00675D6B" w:rsidRPr="008D5C9E" w:rsidRDefault="00675D6B" w:rsidP="00AF6E96">
            <w:pPr>
              <w:rPr>
                <w:b/>
                <w:bCs/>
                <w:sz w:val="18"/>
                <w:szCs w:val="18"/>
              </w:rPr>
            </w:pPr>
            <w:r w:rsidRPr="008D5C9E">
              <w:rPr>
                <w:b/>
                <w:bCs/>
                <w:sz w:val="18"/>
                <w:szCs w:val="18"/>
              </w:rPr>
              <w:t>Study</w:t>
            </w:r>
          </w:p>
          <w:p w14:paraId="7BC9E717" w14:textId="77777777" w:rsidR="00675D6B" w:rsidRPr="008D5C9E" w:rsidRDefault="00675D6B" w:rsidP="00AF6E96">
            <w:pPr>
              <w:rPr>
                <w:b/>
                <w:bCs/>
                <w:sz w:val="18"/>
                <w:szCs w:val="18"/>
              </w:rPr>
            </w:pPr>
            <w:r w:rsidRPr="008D5C9E">
              <w:rPr>
                <w:b/>
                <w:bCs/>
                <w:sz w:val="18"/>
                <w:szCs w:val="18"/>
              </w:rPr>
              <w:t>(Year)</w:t>
            </w:r>
          </w:p>
          <w:p w14:paraId="0BB3607C" w14:textId="77777777" w:rsidR="00675D6B" w:rsidRPr="008D5C9E" w:rsidRDefault="00675D6B" w:rsidP="00AF6E96">
            <w:pPr>
              <w:rPr>
                <w:b/>
                <w:bCs/>
                <w:sz w:val="18"/>
                <w:szCs w:val="18"/>
              </w:rPr>
            </w:pPr>
            <w:r w:rsidRPr="008D5C9E">
              <w:rPr>
                <w:b/>
                <w:bCs/>
                <w:sz w:val="18"/>
                <w:szCs w:val="18"/>
              </w:rPr>
              <w:t>Laocation</w:t>
            </w:r>
          </w:p>
        </w:tc>
        <w:tc>
          <w:tcPr>
            <w:tcW w:w="992" w:type="dxa"/>
          </w:tcPr>
          <w:p w14:paraId="7B8923B9" w14:textId="77777777" w:rsidR="00675D6B" w:rsidRPr="008D5C9E" w:rsidRDefault="00675D6B" w:rsidP="00AF6E96">
            <w:pPr>
              <w:rPr>
                <w:b/>
                <w:bCs/>
                <w:sz w:val="18"/>
                <w:szCs w:val="18"/>
              </w:rPr>
            </w:pPr>
            <w:r w:rsidRPr="008D5C9E">
              <w:rPr>
                <w:b/>
                <w:bCs/>
                <w:sz w:val="18"/>
                <w:szCs w:val="18"/>
              </w:rPr>
              <w:t>N of patients (M/F)</w:t>
            </w:r>
          </w:p>
        </w:tc>
        <w:tc>
          <w:tcPr>
            <w:tcW w:w="851" w:type="dxa"/>
          </w:tcPr>
          <w:p w14:paraId="572C76A1" w14:textId="77777777" w:rsidR="00675D6B" w:rsidRPr="008D5C9E" w:rsidRDefault="00675D6B" w:rsidP="00AF6E96">
            <w:pPr>
              <w:rPr>
                <w:b/>
                <w:bCs/>
                <w:sz w:val="18"/>
                <w:szCs w:val="18"/>
              </w:rPr>
            </w:pPr>
            <w:r w:rsidRPr="008D5C9E">
              <w:rPr>
                <w:b/>
                <w:bCs/>
                <w:sz w:val="18"/>
                <w:szCs w:val="18"/>
              </w:rPr>
              <w:t>Range (mean) of age in year</w:t>
            </w:r>
          </w:p>
        </w:tc>
        <w:tc>
          <w:tcPr>
            <w:tcW w:w="1134" w:type="dxa"/>
          </w:tcPr>
          <w:p w14:paraId="5FCFD33B" w14:textId="77777777" w:rsidR="00675D6B" w:rsidRPr="008D5C9E" w:rsidRDefault="00675D6B" w:rsidP="00AF6E96">
            <w:pPr>
              <w:rPr>
                <w:b/>
                <w:bCs/>
                <w:sz w:val="18"/>
                <w:szCs w:val="18"/>
              </w:rPr>
            </w:pPr>
            <w:r w:rsidRPr="008D5C9E">
              <w:rPr>
                <w:b/>
                <w:bCs/>
                <w:sz w:val="18"/>
                <w:szCs w:val="18"/>
              </w:rPr>
              <w:t xml:space="preserve">N of patients in </w:t>
            </w:r>
            <w:proofErr w:type="gramStart"/>
            <w:r w:rsidRPr="008D5C9E">
              <w:rPr>
                <w:b/>
                <w:bCs/>
                <w:sz w:val="18"/>
                <w:szCs w:val="18"/>
              </w:rPr>
              <w:t>cast :</w:t>
            </w:r>
            <w:proofErr w:type="gramEnd"/>
            <w:r w:rsidRPr="008D5C9E">
              <w:rPr>
                <w:b/>
                <w:bCs/>
                <w:sz w:val="18"/>
                <w:szCs w:val="18"/>
              </w:rPr>
              <w:t xml:space="preserve"> splint groups</w:t>
            </w:r>
          </w:p>
        </w:tc>
        <w:tc>
          <w:tcPr>
            <w:tcW w:w="2126" w:type="dxa"/>
          </w:tcPr>
          <w:p w14:paraId="42E768FB" w14:textId="77777777" w:rsidR="00675D6B" w:rsidRPr="008D5C9E" w:rsidRDefault="00675D6B" w:rsidP="00AF6E96">
            <w:pPr>
              <w:rPr>
                <w:b/>
                <w:bCs/>
                <w:sz w:val="18"/>
                <w:szCs w:val="18"/>
              </w:rPr>
            </w:pPr>
            <w:r w:rsidRPr="008D5C9E">
              <w:rPr>
                <w:b/>
                <w:bCs/>
                <w:sz w:val="18"/>
                <w:szCs w:val="18"/>
              </w:rPr>
              <w:t>Inclusion and Exclusion criteria</w:t>
            </w:r>
          </w:p>
        </w:tc>
        <w:tc>
          <w:tcPr>
            <w:tcW w:w="1417" w:type="dxa"/>
          </w:tcPr>
          <w:p w14:paraId="42B34A43" w14:textId="77777777" w:rsidR="00675D6B" w:rsidRPr="008D5C9E" w:rsidRDefault="00675D6B" w:rsidP="00AF6E96">
            <w:pPr>
              <w:rPr>
                <w:b/>
                <w:bCs/>
                <w:sz w:val="18"/>
                <w:szCs w:val="18"/>
              </w:rPr>
            </w:pPr>
            <w:r w:rsidRPr="008D5C9E">
              <w:rPr>
                <w:b/>
                <w:bCs/>
                <w:sz w:val="18"/>
                <w:szCs w:val="18"/>
              </w:rPr>
              <w:t>Comparability of baseline characteristics of the groups</w:t>
            </w:r>
          </w:p>
        </w:tc>
        <w:tc>
          <w:tcPr>
            <w:tcW w:w="1418" w:type="dxa"/>
          </w:tcPr>
          <w:p w14:paraId="7334C773" w14:textId="77777777" w:rsidR="00675D6B" w:rsidRPr="008D5C9E" w:rsidRDefault="00675D6B" w:rsidP="00AF6E96">
            <w:pPr>
              <w:rPr>
                <w:b/>
                <w:bCs/>
                <w:sz w:val="18"/>
                <w:szCs w:val="18"/>
              </w:rPr>
            </w:pPr>
            <w:r w:rsidRPr="008D5C9E">
              <w:rPr>
                <w:b/>
                <w:bCs/>
                <w:sz w:val="18"/>
                <w:szCs w:val="18"/>
              </w:rPr>
              <w:t>Randomisation method</w:t>
            </w:r>
          </w:p>
        </w:tc>
        <w:tc>
          <w:tcPr>
            <w:tcW w:w="992" w:type="dxa"/>
          </w:tcPr>
          <w:p w14:paraId="4AD4822F" w14:textId="77777777" w:rsidR="00675D6B" w:rsidRPr="008D5C9E" w:rsidRDefault="00675D6B" w:rsidP="00AF6E96">
            <w:pPr>
              <w:rPr>
                <w:b/>
                <w:bCs/>
                <w:sz w:val="18"/>
                <w:szCs w:val="18"/>
              </w:rPr>
            </w:pPr>
            <w:r w:rsidRPr="008D5C9E">
              <w:rPr>
                <w:b/>
                <w:bCs/>
                <w:sz w:val="18"/>
                <w:szCs w:val="18"/>
              </w:rPr>
              <w:t>Blindness</w:t>
            </w:r>
          </w:p>
        </w:tc>
        <w:tc>
          <w:tcPr>
            <w:tcW w:w="1985" w:type="dxa"/>
          </w:tcPr>
          <w:p w14:paraId="55932535" w14:textId="77777777" w:rsidR="00675D6B" w:rsidRPr="008D5C9E" w:rsidRDefault="00675D6B" w:rsidP="00AF6E96">
            <w:pPr>
              <w:rPr>
                <w:b/>
                <w:bCs/>
                <w:sz w:val="18"/>
                <w:szCs w:val="18"/>
              </w:rPr>
            </w:pPr>
            <w:r w:rsidRPr="008D5C9E">
              <w:rPr>
                <w:b/>
                <w:bCs/>
                <w:sz w:val="18"/>
                <w:szCs w:val="18"/>
              </w:rPr>
              <w:t>Outcome measure</w:t>
            </w:r>
          </w:p>
        </w:tc>
        <w:tc>
          <w:tcPr>
            <w:tcW w:w="850" w:type="dxa"/>
          </w:tcPr>
          <w:p w14:paraId="09073DD2" w14:textId="77777777" w:rsidR="00675D6B" w:rsidRPr="008D5C9E" w:rsidRDefault="00675D6B" w:rsidP="00AF6E96">
            <w:pPr>
              <w:rPr>
                <w:b/>
                <w:bCs/>
                <w:sz w:val="18"/>
                <w:szCs w:val="18"/>
              </w:rPr>
            </w:pPr>
            <w:r w:rsidRPr="008D5C9E">
              <w:rPr>
                <w:b/>
                <w:bCs/>
                <w:sz w:val="18"/>
                <w:szCs w:val="18"/>
              </w:rPr>
              <w:t>F/U period</w:t>
            </w:r>
          </w:p>
        </w:tc>
        <w:tc>
          <w:tcPr>
            <w:tcW w:w="1134" w:type="dxa"/>
          </w:tcPr>
          <w:p w14:paraId="75DB536A" w14:textId="77777777" w:rsidR="00675D6B" w:rsidRPr="008D5C9E" w:rsidRDefault="00675D6B" w:rsidP="00AF6E96">
            <w:pPr>
              <w:rPr>
                <w:b/>
                <w:bCs/>
                <w:sz w:val="18"/>
                <w:szCs w:val="18"/>
              </w:rPr>
            </w:pPr>
            <w:r>
              <w:rPr>
                <w:b/>
                <w:bCs/>
                <w:sz w:val="18"/>
                <w:szCs w:val="18"/>
              </w:rPr>
              <w:t>Sample size</w:t>
            </w:r>
            <w:r w:rsidRPr="008D5C9E">
              <w:rPr>
                <w:b/>
                <w:bCs/>
                <w:sz w:val="18"/>
                <w:szCs w:val="18"/>
              </w:rPr>
              <w:t xml:space="preserve"> calculation</w:t>
            </w:r>
          </w:p>
        </w:tc>
        <w:tc>
          <w:tcPr>
            <w:tcW w:w="992" w:type="dxa"/>
          </w:tcPr>
          <w:p w14:paraId="7A1BF733" w14:textId="77777777" w:rsidR="00675D6B" w:rsidRPr="008D5C9E" w:rsidRDefault="00675D6B" w:rsidP="00AF6E96">
            <w:pPr>
              <w:rPr>
                <w:b/>
                <w:bCs/>
                <w:sz w:val="18"/>
                <w:szCs w:val="18"/>
              </w:rPr>
            </w:pPr>
            <w:r w:rsidRPr="008D5C9E">
              <w:rPr>
                <w:b/>
                <w:bCs/>
                <w:sz w:val="18"/>
                <w:szCs w:val="18"/>
              </w:rPr>
              <w:t>Statistical analysis</w:t>
            </w:r>
          </w:p>
        </w:tc>
      </w:tr>
      <w:tr w:rsidR="00675D6B" w:rsidRPr="008D5C9E" w14:paraId="15F8E2A7" w14:textId="77777777" w:rsidTr="00BC5ABA">
        <w:tc>
          <w:tcPr>
            <w:tcW w:w="1418" w:type="dxa"/>
          </w:tcPr>
          <w:p w14:paraId="4FDD5FDA" w14:textId="77777777" w:rsidR="00675D6B" w:rsidRPr="008D5C9E" w:rsidRDefault="00675D6B" w:rsidP="00AF6E96">
            <w:pPr>
              <w:rPr>
                <w:sz w:val="18"/>
                <w:szCs w:val="18"/>
              </w:rPr>
            </w:pPr>
            <w:r w:rsidRPr="008D5C9E">
              <w:rPr>
                <w:sz w:val="18"/>
                <w:szCs w:val="18"/>
              </w:rPr>
              <w:t>Davidson et at. (2001)</w:t>
            </w:r>
          </w:p>
          <w:p w14:paraId="7AB319F0" w14:textId="77777777" w:rsidR="00675D6B" w:rsidRPr="008D5C9E" w:rsidRDefault="00675D6B" w:rsidP="00AF6E96">
            <w:pPr>
              <w:rPr>
                <w:sz w:val="18"/>
                <w:szCs w:val="18"/>
              </w:rPr>
            </w:pPr>
            <w:r w:rsidRPr="008D5C9E">
              <w:rPr>
                <w:sz w:val="18"/>
                <w:szCs w:val="18"/>
              </w:rPr>
              <w:t>Liverpool, UK</w:t>
            </w:r>
          </w:p>
          <w:p w14:paraId="43F71408" w14:textId="77777777" w:rsidR="00675D6B" w:rsidRPr="008D5C9E" w:rsidRDefault="00675D6B" w:rsidP="00AF6E96">
            <w:pPr>
              <w:rPr>
                <w:sz w:val="18"/>
                <w:szCs w:val="18"/>
              </w:rPr>
            </w:pPr>
          </w:p>
        </w:tc>
        <w:tc>
          <w:tcPr>
            <w:tcW w:w="992" w:type="dxa"/>
          </w:tcPr>
          <w:p w14:paraId="78C85CE1" w14:textId="77777777" w:rsidR="00675D6B" w:rsidRPr="008D5C9E" w:rsidRDefault="00675D6B" w:rsidP="00AF6E96">
            <w:pPr>
              <w:rPr>
                <w:sz w:val="18"/>
                <w:szCs w:val="18"/>
              </w:rPr>
            </w:pPr>
            <w:r w:rsidRPr="008D5C9E">
              <w:rPr>
                <w:sz w:val="18"/>
                <w:szCs w:val="18"/>
              </w:rPr>
              <w:t>201</w:t>
            </w:r>
          </w:p>
          <w:p w14:paraId="39A02C1C" w14:textId="77777777" w:rsidR="00675D6B" w:rsidRPr="008D5C9E" w:rsidRDefault="00675D6B" w:rsidP="00AF6E96">
            <w:pPr>
              <w:rPr>
                <w:sz w:val="18"/>
                <w:szCs w:val="18"/>
              </w:rPr>
            </w:pPr>
            <w:r w:rsidRPr="008D5C9E">
              <w:rPr>
                <w:sz w:val="18"/>
                <w:szCs w:val="18"/>
              </w:rPr>
              <w:t>(107/94)</w:t>
            </w:r>
          </w:p>
        </w:tc>
        <w:tc>
          <w:tcPr>
            <w:tcW w:w="851" w:type="dxa"/>
          </w:tcPr>
          <w:p w14:paraId="50C8F820" w14:textId="77777777" w:rsidR="00675D6B" w:rsidRPr="008D5C9E" w:rsidRDefault="00675D6B" w:rsidP="00AF6E96">
            <w:pPr>
              <w:rPr>
                <w:sz w:val="18"/>
                <w:szCs w:val="18"/>
              </w:rPr>
            </w:pPr>
            <w:r w:rsidRPr="008D5C9E">
              <w:rPr>
                <w:sz w:val="18"/>
                <w:szCs w:val="18"/>
              </w:rPr>
              <w:t>2 – 15</w:t>
            </w:r>
          </w:p>
          <w:p w14:paraId="48E3C82E" w14:textId="77777777" w:rsidR="00675D6B" w:rsidRPr="008D5C9E" w:rsidRDefault="00675D6B" w:rsidP="00AF6E96">
            <w:pPr>
              <w:rPr>
                <w:sz w:val="18"/>
                <w:szCs w:val="18"/>
              </w:rPr>
            </w:pPr>
            <w:r w:rsidRPr="008D5C9E">
              <w:rPr>
                <w:sz w:val="18"/>
                <w:szCs w:val="18"/>
              </w:rPr>
              <w:t>8.9</w:t>
            </w:r>
          </w:p>
        </w:tc>
        <w:tc>
          <w:tcPr>
            <w:tcW w:w="1134" w:type="dxa"/>
          </w:tcPr>
          <w:p w14:paraId="65835D68" w14:textId="77777777" w:rsidR="00675D6B" w:rsidRPr="008D5C9E" w:rsidRDefault="00675D6B" w:rsidP="00AF6E96">
            <w:pPr>
              <w:rPr>
                <w:sz w:val="18"/>
                <w:szCs w:val="18"/>
              </w:rPr>
            </w:pPr>
            <w:proofErr w:type="gramStart"/>
            <w:r w:rsidRPr="008D5C9E">
              <w:rPr>
                <w:sz w:val="18"/>
                <w:szCs w:val="18"/>
              </w:rPr>
              <w:t>85 :</w:t>
            </w:r>
            <w:proofErr w:type="gramEnd"/>
            <w:r w:rsidRPr="008D5C9E">
              <w:rPr>
                <w:sz w:val="18"/>
                <w:szCs w:val="18"/>
              </w:rPr>
              <w:t xml:space="preserve"> 116</w:t>
            </w:r>
          </w:p>
        </w:tc>
        <w:tc>
          <w:tcPr>
            <w:tcW w:w="2126" w:type="dxa"/>
          </w:tcPr>
          <w:p w14:paraId="7BA350AB" w14:textId="77777777" w:rsidR="00675D6B" w:rsidRPr="008D5C9E" w:rsidRDefault="00675D6B" w:rsidP="00AF6E96">
            <w:pPr>
              <w:rPr>
                <w:sz w:val="18"/>
                <w:szCs w:val="18"/>
              </w:rPr>
            </w:pPr>
            <w:r w:rsidRPr="008D5C9E">
              <w:rPr>
                <w:sz w:val="18"/>
                <w:szCs w:val="18"/>
              </w:rPr>
              <w:t>NA</w:t>
            </w:r>
          </w:p>
        </w:tc>
        <w:tc>
          <w:tcPr>
            <w:tcW w:w="1417" w:type="dxa"/>
          </w:tcPr>
          <w:p w14:paraId="435AB3EC" w14:textId="77777777" w:rsidR="00675D6B" w:rsidRPr="008D5C9E" w:rsidRDefault="00675D6B" w:rsidP="00AF6E96">
            <w:pPr>
              <w:rPr>
                <w:sz w:val="18"/>
                <w:szCs w:val="18"/>
              </w:rPr>
            </w:pPr>
            <w:r w:rsidRPr="008D5C9E">
              <w:rPr>
                <w:sz w:val="18"/>
                <w:szCs w:val="18"/>
              </w:rPr>
              <w:t>NA</w:t>
            </w:r>
          </w:p>
        </w:tc>
        <w:tc>
          <w:tcPr>
            <w:tcW w:w="1418" w:type="dxa"/>
          </w:tcPr>
          <w:p w14:paraId="09B52BB2" w14:textId="77777777" w:rsidR="00675D6B" w:rsidRPr="008D5C9E" w:rsidRDefault="00675D6B" w:rsidP="00AF6E96">
            <w:pPr>
              <w:rPr>
                <w:sz w:val="18"/>
                <w:szCs w:val="18"/>
              </w:rPr>
            </w:pPr>
            <w:r>
              <w:rPr>
                <w:sz w:val="18"/>
                <w:szCs w:val="18"/>
              </w:rPr>
              <w:t>Q</w:t>
            </w:r>
            <w:r w:rsidRPr="008D5C9E">
              <w:rPr>
                <w:sz w:val="18"/>
                <w:szCs w:val="18"/>
              </w:rPr>
              <w:t>uasi-randomised, based on the day patients attended fracture clinic</w:t>
            </w:r>
          </w:p>
        </w:tc>
        <w:tc>
          <w:tcPr>
            <w:tcW w:w="992" w:type="dxa"/>
          </w:tcPr>
          <w:p w14:paraId="0659FFAB" w14:textId="77777777" w:rsidR="00675D6B" w:rsidRPr="008D5C9E" w:rsidRDefault="00675D6B" w:rsidP="00AF6E96">
            <w:pPr>
              <w:rPr>
                <w:sz w:val="18"/>
                <w:szCs w:val="18"/>
              </w:rPr>
            </w:pPr>
            <w:r w:rsidRPr="008D5C9E">
              <w:rPr>
                <w:sz w:val="18"/>
                <w:szCs w:val="18"/>
              </w:rPr>
              <w:t>NA</w:t>
            </w:r>
          </w:p>
        </w:tc>
        <w:tc>
          <w:tcPr>
            <w:tcW w:w="1985" w:type="dxa"/>
          </w:tcPr>
          <w:p w14:paraId="45B1F8D8" w14:textId="77777777" w:rsidR="00675D6B" w:rsidRPr="008D5C9E" w:rsidRDefault="00675D6B" w:rsidP="00AF6E96">
            <w:pPr>
              <w:rPr>
                <w:sz w:val="18"/>
                <w:szCs w:val="18"/>
              </w:rPr>
            </w:pPr>
            <w:r w:rsidRPr="008D5C9E">
              <w:rPr>
                <w:sz w:val="18"/>
                <w:szCs w:val="18"/>
              </w:rPr>
              <w:t>-compliance</w:t>
            </w:r>
          </w:p>
          <w:p w14:paraId="57A4595F" w14:textId="77777777" w:rsidR="00675D6B" w:rsidRPr="008D5C9E" w:rsidRDefault="00675D6B" w:rsidP="00AF6E96">
            <w:pPr>
              <w:rPr>
                <w:sz w:val="18"/>
                <w:szCs w:val="18"/>
              </w:rPr>
            </w:pPr>
            <w:r w:rsidRPr="008D5C9E">
              <w:rPr>
                <w:sz w:val="18"/>
                <w:szCs w:val="18"/>
              </w:rPr>
              <w:t>- clinical and radiological healing of fractures</w:t>
            </w:r>
          </w:p>
          <w:p w14:paraId="570588B9" w14:textId="77777777" w:rsidR="00675D6B" w:rsidRPr="008D5C9E" w:rsidRDefault="00675D6B" w:rsidP="00AF6E96">
            <w:pPr>
              <w:rPr>
                <w:sz w:val="18"/>
                <w:szCs w:val="18"/>
              </w:rPr>
            </w:pPr>
            <w:r w:rsidRPr="008D5C9E">
              <w:rPr>
                <w:sz w:val="18"/>
                <w:szCs w:val="18"/>
              </w:rPr>
              <w:t xml:space="preserve">- loss of position </w:t>
            </w:r>
          </w:p>
          <w:p w14:paraId="0A5AFAAD" w14:textId="77777777" w:rsidR="00675D6B" w:rsidRPr="008D5C9E" w:rsidRDefault="00675D6B" w:rsidP="00AF6E96">
            <w:pPr>
              <w:rPr>
                <w:sz w:val="18"/>
                <w:szCs w:val="18"/>
              </w:rPr>
            </w:pPr>
            <w:r w:rsidRPr="008D5C9E">
              <w:rPr>
                <w:sz w:val="18"/>
                <w:szCs w:val="18"/>
              </w:rPr>
              <w:t xml:space="preserve">- cost-benefit </w:t>
            </w:r>
          </w:p>
        </w:tc>
        <w:tc>
          <w:tcPr>
            <w:tcW w:w="850" w:type="dxa"/>
          </w:tcPr>
          <w:p w14:paraId="5F4F6DAD" w14:textId="77777777" w:rsidR="00675D6B" w:rsidRPr="008D5C9E" w:rsidRDefault="00675D6B" w:rsidP="00AF6E96">
            <w:pPr>
              <w:rPr>
                <w:sz w:val="18"/>
                <w:szCs w:val="18"/>
              </w:rPr>
            </w:pPr>
            <w:r w:rsidRPr="008D5C9E">
              <w:rPr>
                <w:sz w:val="18"/>
                <w:szCs w:val="18"/>
              </w:rPr>
              <w:t>3 weeks</w:t>
            </w:r>
          </w:p>
        </w:tc>
        <w:tc>
          <w:tcPr>
            <w:tcW w:w="1134" w:type="dxa"/>
          </w:tcPr>
          <w:p w14:paraId="052F73D9" w14:textId="77777777" w:rsidR="00675D6B" w:rsidRPr="008D5C9E" w:rsidRDefault="00675D6B" w:rsidP="00AF6E96">
            <w:pPr>
              <w:rPr>
                <w:sz w:val="18"/>
                <w:szCs w:val="18"/>
              </w:rPr>
            </w:pPr>
            <w:r w:rsidRPr="008D5C9E">
              <w:rPr>
                <w:sz w:val="18"/>
                <w:szCs w:val="18"/>
              </w:rPr>
              <w:t>NA</w:t>
            </w:r>
          </w:p>
        </w:tc>
        <w:tc>
          <w:tcPr>
            <w:tcW w:w="992" w:type="dxa"/>
          </w:tcPr>
          <w:p w14:paraId="087BF1D3" w14:textId="77777777" w:rsidR="00675D6B" w:rsidRPr="008D5C9E" w:rsidRDefault="00675D6B" w:rsidP="00AF6E96">
            <w:pPr>
              <w:rPr>
                <w:sz w:val="18"/>
                <w:szCs w:val="18"/>
              </w:rPr>
            </w:pPr>
            <w:r w:rsidRPr="008D5C9E">
              <w:rPr>
                <w:sz w:val="18"/>
                <w:szCs w:val="18"/>
              </w:rPr>
              <w:t>NA</w:t>
            </w:r>
          </w:p>
        </w:tc>
      </w:tr>
      <w:tr w:rsidR="00675D6B" w:rsidRPr="008D5C9E" w14:paraId="4C57E915" w14:textId="77777777" w:rsidTr="00BC5ABA">
        <w:tc>
          <w:tcPr>
            <w:tcW w:w="1418" w:type="dxa"/>
          </w:tcPr>
          <w:p w14:paraId="081BE096" w14:textId="77777777" w:rsidR="00675D6B" w:rsidRPr="008D5C9E" w:rsidRDefault="00675D6B" w:rsidP="00AF6E96">
            <w:pPr>
              <w:rPr>
                <w:sz w:val="18"/>
                <w:szCs w:val="18"/>
              </w:rPr>
            </w:pPr>
            <w:r w:rsidRPr="008D5C9E">
              <w:rPr>
                <w:sz w:val="18"/>
                <w:szCs w:val="18"/>
              </w:rPr>
              <w:t>Plint et al.</w:t>
            </w:r>
          </w:p>
          <w:p w14:paraId="30838BA5" w14:textId="77777777" w:rsidR="00675D6B" w:rsidRPr="008D5C9E" w:rsidRDefault="00675D6B" w:rsidP="00AF6E96">
            <w:pPr>
              <w:rPr>
                <w:sz w:val="18"/>
                <w:szCs w:val="18"/>
              </w:rPr>
            </w:pPr>
            <w:r w:rsidRPr="008D5C9E">
              <w:rPr>
                <w:sz w:val="18"/>
                <w:szCs w:val="18"/>
              </w:rPr>
              <w:t>(2006)</w:t>
            </w:r>
          </w:p>
          <w:p w14:paraId="419118C6" w14:textId="77777777" w:rsidR="00675D6B" w:rsidRPr="008D5C9E" w:rsidRDefault="00675D6B" w:rsidP="00AF6E96">
            <w:pPr>
              <w:rPr>
                <w:sz w:val="18"/>
                <w:szCs w:val="18"/>
              </w:rPr>
            </w:pPr>
            <w:r w:rsidRPr="008D5C9E">
              <w:rPr>
                <w:sz w:val="18"/>
                <w:szCs w:val="18"/>
              </w:rPr>
              <w:t>Ottawa, Canada</w:t>
            </w:r>
          </w:p>
        </w:tc>
        <w:tc>
          <w:tcPr>
            <w:tcW w:w="992" w:type="dxa"/>
          </w:tcPr>
          <w:p w14:paraId="767049FB" w14:textId="77777777" w:rsidR="00675D6B" w:rsidRDefault="00675D6B" w:rsidP="00AF6E96">
            <w:pPr>
              <w:rPr>
                <w:sz w:val="18"/>
                <w:szCs w:val="18"/>
              </w:rPr>
            </w:pPr>
            <w:r>
              <w:rPr>
                <w:sz w:val="18"/>
                <w:szCs w:val="18"/>
              </w:rPr>
              <w:t>87</w:t>
            </w:r>
          </w:p>
          <w:p w14:paraId="4CD30B28" w14:textId="77777777" w:rsidR="00675D6B" w:rsidRDefault="00675D6B" w:rsidP="00AF6E96">
            <w:pPr>
              <w:rPr>
                <w:sz w:val="18"/>
                <w:szCs w:val="18"/>
              </w:rPr>
            </w:pPr>
            <w:r>
              <w:rPr>
                <w:sz w:val="18"/>
                <w:szCs w:val="18"/>
              </w:rPr>
              <w:t>(57/43)</w:t>
            </w:r>
          </w:p>
          <w:p w14:paraId="575FE9CD" w14:textId="77777777" w:rsidR="00675D6B" w:rsidRPr="008D5C9E" w:rsidRDefault="00675D6B" w:rsidP="00AF6E96">
            <w:pPr>
              <w:rPr>
                <w:sz w:val="18"/>
                <w:szCs w:val="18"/>
              </w:rPr>
            </w:pPr>
          </w:p>
        </w:tc>
        <w:tc>
          <w:tcPr>
            <w:tcW w:w="851" w:type="dxa"/>
          </w:tcPr>
          <w:p w14:paraId="1599495F" w14:textId="77777777" w:rsidR="00675D6B" w:rsidRPr="008D5C9E" w:rsidRDefault="00675D6B" w:rsidP="00AF6E96">
            <w:pPr>
              <w:rPr>
                <w:sz w:val="18"/>
                <w:szCs w:val="18"/>
              </w:rPr>
            </w:pPr>
            <w:r>
              <w:rPr>
                <w:sz w:val="18"/>
                <w:szCs w:val="18"/>
              </w:rPr>
              <w:t xml:space="preserve">N/A </w:t>
            </w:r>
            <w:r w:rsidRPr="0065783A">
              <w:rPr>
                <w:sz w:val="18"/>
                <w:szCs w:val="18"/>
                <w:vertAlign w:val="superscript"/>
              </w:rPr>
              <w:t>a</w:t>
            </w:r>
          </w:p>
        </w:tc>
        <w:tc>
          <w:tcPr>
            <w:tcW w:w="1134" w:type="dxa"/>
          </w:tcPr>
          <w:p w14:paraId="34A08A91" w14:textId="77777777" w:rsidR="00675D6B" w:rsidRPr="008D5C9E" w:rsidRDefault="00675D6B" w:rsidP="00AF6E96">
            <w:pPr>
              <w:rPr>
                <w:sz w:val="18"/>
                <w:szCs w:val="18"/>
              </w:rPr>
            </w:pPr>
            <w:proofErr w:type="gramStart"/>
            <w:r>
              <w:rPr>
                <w:sz w:val="18"/>
                <w:szCs w:val="18"/>
              </w:rPr>
              <w:t>45 :</w:t>
            </w:r>
            <w:proofErr w:type="gramEnd"/>
            <w:r>
              <w:rPr>
                <w:sz w:val="18"/>
                <w:szCs w:val="18"/>
              </w:rPr>
              <w:t xml:space="preserve"> 42</w:t>
            </w:r>
          </w:p>
        </w:tc>
        <w:tc>
          <w:tcPr>
            <w:tcW w:w="2126" w:type="dxa"/>
          </w:tcPr>
          <w:p w14:paraId="0DF0BA57" w14:textId="77777777" w:rsidR="00675D6B" w:rsidRPr="008D5C9E" w:rsidRDefault="00675D6B" w:rsidP="00AF6E96">
            <w:pPr>
              <w:rPr>
                <w:b/>
                <w:bCs/>
                <w:sz w:val="18"/>
                <w:szCs w:val="18"/>
              </w:rPr>
            </w:pPr>
            <w:r w:rsidRPr="008D5C9E">
              <w:rPr>
                <w:b/>
                <w:bCs/>
                <w:sz w:val="18"/>
                <w:szCs w:val="18"/>
              </w:rPr>
              <w:t>Inclusion:</w:t>
            </w:r>
          </w:p>
          <w:p w14:paraId="67295107" w14:textId="77777777" w:rsidR="00675D6B" w:rsidRPr="008D5C9E" w:rsidRDefault="00675D6B" w:rsidP="00AF6E96">
            <w:pPr>
              <w:rPr>
                <w:sz w:val="18"/>
                <w:szCs w:val="18"/>
              </w:rPr>
            </w:pPr>
            <w:r w:rsidRPr="008D5C9E">
              <w:rPr>
                <w:sz w:val="18"/>
                <w:szCs w:val="18"/>
              </w:rPr>
              <w:t>- age 6 to 15yr</w:t>
            </w:r>
          </w:p>
          <w:p w14:paraId="371666F0" w14:textId="77777777" w:rsidR="00675D6B" w:rsidRPr="008D5C9E" w:rsidRDefault="00675D6B" w:rsidP="00AF6E96">
            <w:pPr>
              <w:rPr>
                <w:sz w:val="18"/>
                <w:szCs w:val="18"/>
              </w:rPr>
            </w:pPr>
            <w:r w:rsidRPr="008D5C9E">
              <w:rPr>
                <w:sz w:val="18"/>
                <w:szCs w:val="18"/>
              </w:rPr>
              <w:t>- torus fracture of distal radius or ulna</w:t>
            </w:r>
          </w:p>
          <w:p w14:paraId="7177E684" w14:textId="77777777" w:rsidR="00675D6B" w:rsidRPr="008D5C9E" w:rsidRDefault="00675D6B" w:rsidP="00AF6E96">
            <w:pPr>
              <w:rPr>
                <w:b/>
                <w:bCs/>
                <w:sz w:val="18"/>
                <w:szCs w:val="18"/>
              </w:rPr>
            </w:pPr>
            <w:r w:rsidRPr="008D5C9E">
              <w:rPr>
                <w:b/>
                <w:bCs/>
                <w:sz w:val="18"/>
                <w:szCs w:val="18"/>
              </w:rPr>
              <w:t>Exclusion:</w:t>
            </w:r>
          </w:p>
          <w:p w14:paraId="1FD35449" w14:textId="77777777" w:rsidR="00675D6B" w:rsidRPr="008D5C9E" w:rsidRDefault="00675D6B" w:rsidP="00AF6E96">
            <w:pPr>
              <w:rPr>
                <w:sz w:val="18"/>
                <w:szCs w:val="18"/>
              </w:rPr>
            </w:pPr>
            <w:r w:rsidRPr="008D5C9E">
              <w:rPr>
                <w:sz w:val="18"/>
                <w:szCs w:val="18"/>
              </w:rPr>
              <w:t>- other fractures of same limb requires mobilisation</w:t>
            </w:r>
          </w:p>
          <w:p w14:paraId="09553197" w14:textId="77777777" w:rsidR="00675D6B" w:rsidRPr="008D5C9E" w:rsidRDefault="00675D6B" w:rsidP="00AF6E96">
            <w:pPr>
              <w:rPr>
                <w:sz w:val="18"/>
                <w:szCs w:val="18"/>
              </w:rPr>
            </w:pPr>
            <w:r w:rsidRPr="008D5C9E">
              <w:rPr>
                <w:sz w:val="18"/>
                <w:szCs w:val="18"/>
              </w:rPr>
              <w:t>- bilateral wrists fracture</w:t>
            </w:r>
          </w:p>
          <w:p w14:paraId="245C22C2" w14:textId="77777777" w:rsidR="00675D6B" w:rsidRPr="008D5C9E" w:rsidRDefault="00675D6B" w:rsidP="00AF6E96">
            <w:pPr>
              <w:rPr>
                <w:sz w:val="18"/>
                <w:szCs w:val="18"/>
              </w:rPr>
            </w:pPr>
            <w:r w:rsidRPr="008D5C9E">
              <w:rPr>
                <w:sz w:val="18"/>
                <w:szCs w:val="18"/>
              </w:rPr>
              <w:t>- metabolic bone disease</w:t>
            </w:r>
          </w:p>
          <w:p w14:paraId="7DAE2917" w14:textId="77777777" w:rsidR="00675D6B" w:rsidRPr="008D5C9E" w:rsidRDefault="00675D6B" w:rsidP="00AF6E96">
            <w:pPr>
              <w:rPr>
                <w:sz w:val="18"/>
                <w:szCs w:val="18"/>
              </w:rPr>
            </w:pPr>
            <w:r w:rsidRPr="008D5C9E">
              <w:rPr>
                <w:sz w:val="18"/>
                <w:szCs w:val="18"/>
              </w:rPr>
              <w:t>- language barrier</w:t>
            </w:r>
          </w:p>
          <w:p w14:paraId="1D6B558A" w14:textId="77777777" w:rsidR="00675D6B" w:rsidRPr="008D5C9E" w:rsidRDefault="00675D6B" w:rsidP="00AF6E96">
            <w:pPr>
              <w:rPr>
                <w:sz w:val="18"/>
                <w:szCs w:val="18"/>
              </w:rPr>
            </w:pPr>
            <w:r w:rsidRPr="008D5C9E">
              <w:rPr>
                <w:sz w:val="18"/>
                <w:szCs w:val="18"/>
              </w:rPr>
              <w:t>- from outside of hospital catchment area</w:t>
            </w:r>
          </w:p>
        </w:tc>
        <w:tc>
          <w:tcPr>
            <w:tcW w:w="1417" w:type="dxa"/>
          </w:tcPr>
          <w:p w14:paraId="39BD3E1D" w14:textId="77777777" w:rsidR="00675D6B" w:rsidRPr="008D5C9E" w:rsidRDefault="00675D6B" w:rsidP="00AF6E96">
            <w:pPr>
              <w:rPr>
                <w:sz w:val="18"/>
                <w:szCs w:val="18"/>
              </w:rPr>
            </w:pPr>
            <w:r>
              <w:rPr>
                <w:sz w:val="18"/>
                <w:szCs w:val="18"/>
              </w:rPr>
              <w:t>Yes</w:t>
            </w:r>
          </w:p>
        </w:tc>
        <w:tc>
          <w:tcPr>
            <w:tcW w:w="1418" w:type="dxa"/>
          </w:tcPr>
          <w:p w14:paraId="2C04B41B" w14:textId="77777777" w:rsidR="00675D6B" w:rsidRPr="008D5C9E" w:rsidRDefault="00675D6B" w:rsidP="00AF6E96">
            <w:pPr>
              <w:rPr>
                <w:sz w:val="18"/>
                <w:szCs w:val="18"/>
              </w:rPr>
            </w:pPr>
            <w:r>
              <w:rPr>
                <w:sz w:val="18"/>
                <w:szCs w:val="18"/>
              </w:rPr>
              <w:t>C</w:t>
            </w:r>
            <w:r w:rsidRPr="00992724">
              <w:rPr>
                <w:sz w:val="18"/>
                <w:szCs w:val="18"/>
              </w:rPr>
              <w:t>omputer-generated with a block size of 4</w:t>
            </w:r>
          </w:p>
        </w:tc>
        <w:tc>
          <w:tcPr>
            <w:tcW w:w="992" w:type="dxa"/>
          </w:tcPr>
          <w:p w14:paraId="4B7E33EB" w14:textId="77777777" w:rsidR="00675D6B" w:rsidRPr="008D5C9E" w:rsidRDefault="00675D6B" w:rsidP="00AF6E96">
            <w:pPr>
              <w:rPr>
                <w:sz w:val="18"/>
                <w:szCs w:val="18"/>
              </w:rPr>
            </w:pPr>
            <w:r>
              <w:rPr>
                <w:sz w:val="18"/>
                <w:szCs w:val="18"/>
              </w:rPr>
              <w:t>No</w:t>
            </w:r>
          </w:p>
        </w:tc>
        <w:tc>
          <w:tcPr>
            <w:tcW w:w="1985" w:type="dxa"/>
          </w:tcPr>
          <w:p w14:paraId="439A9C7B" w14:textId="77777777" w:rsidR="00675D6B" w:rsidRDefault="00675D6B" w:rsidP="00AF6E96">
            <w:pPr>
              <w:rPr>
                <w:sz w:val="18"/>
                <w:szCs w:val="18"/>
              </w:rPr>
            </w:pPr>
            <w:r>
              <w:rPr>
                <w:sz w:val="18"/>
                <w:szCs w:val="18"/>
              </w:rPr>
              <w:t xml:space="preserve">- </w:t>
            </w:r>
            <w:r w:rsidRPr="00992724">
              <w:rPr>
                <w:sz w:val="18"/>
                <w:szCs w:val="18"/>
              </w:rPr>
              <w:t>primary outcome</w:t>
            </w:r>
            <w:r>
              <w:rPr>
                <w:sz w:val="18"/>
                <w:szCs w:val="18"/>
              </w:rPr>
              <w:t xml:space="preserve"> </w:t>
            </w:r>
            <w:r w:rsidRPr="00992724">
              <w:rPr>
                <w:sz w:val="18"/>
                <w:szCs w:val="18"/>
              </w:rPr>
              <w:t>measures</w:t>
            </w:r>
            <w:r>
              <w:rPr>
                <w:sz w:val="18"/>
                <w:szCs w:val="18"/>
              </w:rPr>
              <w:t>:</w:t>
            </w:r>
          </w:p>
          <w:p w14:paraId="1D71F9EB" w14:textId="77777777" w:rsidR="00675D6B" w:rsidRDefault="00675D6B" w:rsidP="00AF6E96">
            <w:pPr>
              <w:rPr>
                <w:sz w:val="18"/>
                <w:szCs w:val="18"/>
              </w:rPr>
            </w:pPr>
            <w:r w:rsidRPr="00992724">
              <w:rPr>
                <w:sz w:val="18"/>
                <w:szCs w:val="18"/>
              </w:rPr>
              <w:t>ASKp score at day 14 post injury</w:t>
            </w:r>
          </w:p>
          <w:p w14:paraId="388D810A" w14:textId="77777777" w:rsidR="00675D6B" w:rsidRDefault="00675D6B" w:rsidP="00AF6E96">
            <w:pPr>
              <w:rPr>
                <w:sz w:val="18"/>
                <w:szCs w:val="18"/>
              </w:rPr>
            </w:pPr>
            <w:r>
              <w:rPr>
                <w:sz w:val="18"/>
                <w:szCs w:val="18"/>
              </w:rPr>
              <w:t xml:space="preserve">- </w:t>
            </w:r>
            <w:r w:rsidRPr="00992724">
              <w:rPr>
                <w:sz w:val="18"/>
                <w:szCs w:val="18"/>
              </w:rPr>
              <w:t>Other outcome measures</w:t>
            </w:r>
            <w:r>
              <w:rPr>
                <w:sz w:val="18"/>
                <w:szCs w:val="18"/>
              </w:rPr>
              <w:t>:</w:t>
            </w:r>
          </w:p>
          <w:p w14:paraId="279C4037" w14:textId="77777777" w:rsidR="00675D6B" w:rsidRDefault="00675D6B" w:rsidP="00AF6E96">
            <w:pPr>
              <w:rPr>
                <w:sz w:val="18"/>
                <w:szCs w:val="18"/>
              </w:rPr>
            </w:pPr>
            <w:r w:rsidRPr="00992724">
              <w:rPr>
                <w:sz w:val="18"/>
                <w:szCs w:val="18"/>
              </w:rPr>
              <w:t xml:space="preserve">ASKp score at days 7, 20, and 28 post injury; </w:t>
            </w:r>
          </w:p>
          <w:p w14:paraId="305840D1" w14:textId="77777777" w:rsidR="00675D6B" w:rsidRDefault="00675D6B" w:rsidP="00AF6E96">
            <w:pPr>
              <w:rPr>
                <w:sz w:val="18"/>
                <w:szCs w:val="18"/>
              </w:rPr>
            </w:pPr>
            <w:r w:rsidRPr="00992724">
              <w:rPr>
                <w:sz w:val="18"/>
                <w:szCs w:val="18"/>
              </w:rPr>
              <w:t xml:space="preserve">change from baseline in ASKp at days 7, 14, 20, and 28; </w:t>
            </w:r>
          </w:p>
          <w:p w14:paraId="44BB6CAA" w14:textId="77777777" w:rsidR="00675D6B" w:rsidRDefault="00675D6B" w:rsidP="00AF6E96">
            <w:pPr>
              <w:rPr>
                <w:sz w:val="18"/>
                <w:szCs w:val="18"/>
              </w:rPr>
            </w:pPr>
            <w:r w:rsidRPr="00992724">
              <w:rPr>
                <w:sz w:val="18"/>
                <w:szCs w:val="18"/>
              </w:rPr>
              <w:t xml:space="preserve">pain; </w:t>
            </w:r>
          </w:p>
          <w:p w14:paraId="65448E52" w14:textId="77777777" w:rsidR="00675D6B" w:rsidRDefault="00675D6B" w:rsidP="00AF6E96">
            <w:pPr>
              <w:rPr>
                <w:sz w:val="18"/>
                <w:szCs w:val="18"/>
              </w:rPr>
            </w:pPr>
            <w:r w:rsidRPr="00992724">
              <w:rPr>
                <w:sz w:val="18"/>
                <w:szCs w:val="18"/>
              </w:rPr>
              <w:t>ability to perform daily and sporting activities throughout the study;</w:t>
            </w:r>
          </w:p>
          <w:p w14:paraId="1214D475" w14:textId="77777777" w:rsidR="00675D6B" w:rsidRDefault="00675D6B" w:rsidP="00AF6E96">
            <w:pPr>
              <w:rPr>
                <w:sz w:val="18"/>
                <w:szCs w:val="18"/>
              </w:rPr>
            </w:pPr>
            <w:r w:rsidRPr="00992724">
              <w:rPr>
                <w:sz w:val="18"/>
                <w:szCs w:val="18"/>
              </w:rPr>
              <w:t>length of splint use;</w:t>
            </w:r>
          </w:p>
          <w:p w14:paraId="442738DD" w14:textId="77777777" w:rsidR="00675D6B" w:rsidRDefault="00675D6B" w:rsidP="00AF6E96">
            <w:pPr>
              <w:rPr>
                <w:sz w:val="18"/>
                <w:szCs w:val="18"/>
              </w:rPr>
            </w:pPr>
            <w:r w:rsidRPr="00992724">
              <w:rPr>
                <w:sz w:val="18"/>
                <w:szCs w:val="18"/>
              </w:rPr>
              <w:t xml:space="preserve">parent and child satisfaction at day 28; </w:t>
            </w:r>
          </w:p>
          <w:p w14:paraId="2FBD3E25" w14:textId="77777777" w:rsidR="00675D6B" w:rsidRPr="008D5C9E" w:rsidRDefault="00675D6B" w:rsidP="00AF6E96">
            <w:pPr>
              <w:rPr>
                <w:sz w:val="18"/>
                <w:szCs w:val="18"/>
              </w:rPr>
            </w:pPr>
            <w:r w:rsidRPr="00992724">
              <w:rPr>
                <w:sz w:val="18"/>
                <w:szCs w:val="18"/>
              </w:rPr>
              <w:t>re-fracture at 6 months</w:t>
            </w:r>
          </w:p>
        </w:tc>
        <w:tc>
          <w:tcPr>
            <w:tcW w:w="850" w:type="dxa"/>
          </w:tcPr>
          <w:p w14:paraId="0A05CC57" w14:textId="77777777" w:rsidR="00675D6B" w:rsidRDefault="00675D6B" w:rsidP="00AF6E96">
            <w:pPr>
              <w:rPr>
                <w:sz w:val="18"/>
                <w:szCs w:val="18"/>
              </w:rPr>
            </w:pPr>
            <w:r>
              <w:rPr>
                <w:sz w:val="18"/>
                <w:szCs w:val="18"/>
              </w:rPr>
              <w:t>28 days in clinic;</w:t>
            </w:r>
          </w:p>
          <w:p w14:paraId="1B7CD03E" w14:textId="77777777" w:rsidR="00675D6B" w:rsidRPr="008D5C9E" w:rsidRDefault="00675D6B" w:rsidP="00AF6E96">
            <w:pPr>
              <w:rPr>
                <w:sz w:val="18"/>
                <w:szCs w:val="18"/>
              </w:rPr>
            </w:pPr>
            <w:proofErr w:type="gramStart"/>
            <w:r>
              <w:rPr>
                <w:sz w:val="18"/>
                <w:szCs w:val="18"/>
              </w:rPr>
              <w:t>6 month</w:t>
            </w:r>
            <w:proofErr w:type="gramEnd"/>
            <w:r>
              <w:rPr>
                <w:sz w:val="18"/>
                <w:szCs w:val="18"/>
              </w:rPr>
              <w:t xml:space="preserve"> phone call</w:t>
            </w:r>
          </w:p>
        </w:tc>
        <w:tc>
          <w:tcPr>
            <w:tcW w:w="1134" w:type="dxa"/>
          </w:tcPr>
          <w:p w14:paraId="1E4D9B90" w14:textId="77777777" w:rsidR="00675D6B" w:rsidRPr="008D5C9E" w:rsidRDefault="00675D6B" w:rsidP="00AF6E96">
            <w:pPr>
              <w:rPr>
                <w:sz w:val="18"/>
                <w:szCs w:val="18"/>
              </w:rPr>
            </w:pPr>
            <w:r>
              <w:rPr>
                <w:sz w:val="18"/>
                <w:szCs w:val="18"/>
              </w:rPr>
              <w:t>Yes</w:t>
            </w:r>
          </w:p>
        </w:tc>
        <w:tc>
          <w:tcPr>
            <w:tcW w:w="992" w:type="dxa"/>
          </w:tcPr>
          <w:p w14:paraId="2255B044" w14:textId="77777777" w:rsidR="00675D6B" w:rsidRPr="008D5C9E" w:rsidRDefault="00675D6B" w:rsidP="00AF6E96">
            <w:pPr>
              <w:rPr>
                <w:sz w:val="18"/>
                <w:szCs w:val="18"/>
              </w:rPr>
            </w:pPr>
            <w:r>
              <w:rPr>
                <w:sz w:val="18"/>
                <w:szCs w:val="18"/>
              </w:rPr>
              <w:t>Yes</w:t>
            </w:r>
          </w:p>
        </w:tc>
      </w:tr>
      <w:tr w:rsidR="00675D6B" w:rsidRPr="008D5C9E" w14:paraId="08536C98" w14:textId="77777777" w:rsidTr="00BC5ABA">
        <w:tc>
          <w:tcPr>
            <w:tcW w:w="1418" w:type="dxa"/>
          </w:tcPr>
          <w:p w14:paraId="6395B64D" w14:textId="77777777" w:rsidR="00675D6B" w:rsidRDefault="00675D6B" w:rsidP="00AF6E96">
            <w:pPr>
              <w:rPr>
                <w:sz w:val="18"/>
                <w:szCs w:val="18"/>
              </w:rPr>
            </w:pPr>
            <w:r>
              <w:rPr>
                <w:sz w:val="18"/>
                <w:szCs w:val="18"/>
              </w:rPr>
              <w:t>Karimi et al.</w:t>
            </w:r>
          </w:p>
          <w:p w14:paraId="017F827D" w14:textId="77777777" w:rsidR="00675D6B" w:rsidRDefault="00675D6B" w:rsidP="00AF6E96">
            <w:pPr>
              <w:rPr>
                <w:sz w:val="18"/>
                <w:szCs w:val="18"/>
              </w:rPr>
            </w:pPr>
            <w:r>
              <w:rPr>
                <w:sz w:val="18"/>
                <w:szCs w:val="18"/>
              </w:rPr>
              <w:t>(2013)</w:t>
            </w:r>
          </w:p>
          <w:p w14:paraId="13BDB913" w14:textId="77777777" w:rsidR="00675D6B" w:rsidRPr="008D5C9E" w:rsidRDefault="00675D6B" w:rsidP="00AF6E96">
            <w:pPr>
              <w:rPr>
                <w:sz w:val="18"/>
                <w:szCs w:val="18"/>
              </w:rPr>
            </w:pPr>
            <w:r w:rsidRPr="0065783A">
              <w:rPr>
                <w:sz w:val="18"/>
                <w:szCs w:val="18"/>
              </w:rPr>
              <w:t>Kerman, Iran</w:t>
            </w:r>
          </w:p>
        </w:tc>
        <w:tc>
          <w:tcPr>
            <w:tcW w:w="992" w:type="dxa"/>
          </w:tcPr>
          <w:p w14:paraId="7071C233" w14:textId="77777777" w:rsidR="00675D6B" w:rsidRDefault="00675D6B" w:rsidP="00AF6E96">
            <w:pPr>
              <w:rPr>
                <w:sz w:val="18"/>
                <w:szCs w:val="18"/>
              </w:rPr>
            </w:pPr>
            <w:r>
              <w:rPr>
                <w:sz w:val="18"/>
                <w:szCs w:val="18"/>
              </w:rPr>
              <w:t>142</w:t>
            </w:r>
          </w:p>
          <w:p w14:paraId="573421FD" w14:textId="77777777" w:rsidR="00675D6B" w:rsidRDefault="00675D6B" w:rsidP="00AF6E96">
            <w:pPr>
              <w:rPr>
                <w:sz w:val="18"/>
                <w:szCs w:val="18"/>
              </w:rPr>
            </w:pPr>
            <w:r>
              <w:rPr>
                <w:sz w:val="18"/>
                <w:szCs w:val="18"/>
              </w:rPr>
              <w:t>(103/39)</w:t>
            </w:r>
          </w:p>
        </w:tc>
        <w:tc>
          <w:tcPr>
            <w:tcW w:w="851" w:type="dxa"/>
          </w:tcPr>
          <w:p w14:paraId="0608C819" w14:textId="77777777" w:rsidR="00675D6B" w:rsidRDefault="00675D6B" w:rsidP="00AF6E96">
            <w:pPr>
              <w:rPr>
                <w:sz w:val="18"/>
                <w:szCs w:val="18"/>
              </w:rPr>
            </w:pPr>
            <w:r w:rsidRPr="0065783A">
              <w:rPr>
                <w:sz w:val="18"/>
                <w:szCs w:val="18"/>
              </w:rPr>
              <w:t xml:space="preserve">1.2 </w:t>
            </w:r>
            <w:r w:rsidRPr="008D5C9E">
              <w:rPr>
                <w:sz w:val="18"/>
                <w:szCs w:val="18"/>
              </w:rPr>
              <w:t xml:space="preserve">– </w:t>
            </w:r>
            <w:r w:rsidRPr="0065783A">
              <w:rPr>
                <w:sz w:val="18"/>
                <w:szCs w:val="18"/>
              </w:rPr>
              <w:t>17</w:t>
            </w:r>
          </w:p>
          <w:p w14:paraId="19F10AC0" w14:textId="77777777" w:rsidR="00675D6B" w:rsidRDefault="00675D6B" w:rsidP="00AF6E96">
            <w:pPr>
              <w:rPr>
                <w:sz w:val="18"/>
                <w:szCs w:val="18"/>
              </w:rPr>
            </w:pPr>
            <w:r w:rsidRPr="0065783A">
              <w:rPr>
                <w:sz w:val="18"/>
                <w:szCs w:val="18"/>
              </w:rPr>
              <w:t xml:space="preserve">9.5 </w:t>
            </w:r>
          </w:p>
        </w:tc>
        <w:tc>
          <w:tcPr>
            <w:tcW w:w="1134" w:type="dxa"/>
          </w:tcPr>
          <w:p w14:paraId="4F362CE9" w14:textId="77777777" w:rsidR="00675D6B" w:rsidRDefault="00675D6B" w:rsidP="00AF6E96">
            <w:pPr>
              <w:rPr>
                <w:sz w:val="18"/>
                <w:szCs w:val="18"/>
              </w:rPr>
            </w:pPr>
            <w:proofErr w:type="gramStart"/>
            <w:r>
              <w:rPr>
                <w:sz w:val="18"/>
                <w:szCs w:val="18"/>
              </w:rPr>
              <w:t>77 :</w:t>
            </w:r>
            <w:proofErr w:type="gramEnd"/>
            <w:r>
              <w:rPr>
                <w:sz w:val="18"/>
                <w:szCs w:val="18"/>
              </w:rPr>
              <w:t xml:space="preserve"> 65</w:t>
            </w:r>
          </w:p>
        </w:tc>
        <w:tc>
          <w:tcPr>
            <w:tcW w:w="2126" w:type="dxa"/>
          </w:tcPr>
          <w:p w14:paraId="6C65B338" w14:textId="77777777" w:rsidR="00675D6B" w:rsidRPr="008D5C9E" w:rsidRDefault="00675D6B" w:rsidP="00AF6E96">
            <w:pPr>
              <w:rPr>
                <w:b/>
                <w:bCs/>
                <w:sz w:val="18"/>
                <w:szCs w:val="18"/>
              </w:rPr>
            </w:pPr>
            <w:r>
              <w:rPr>
                <w:b/>
                <w:bCs/>
                <w:sz w:val="18"/>
                <w:szCs w:val="18"/>
              </w:rPr>
              <w:t>N/A</w:t>
            </w:r>
          </w:p>
        </w:tc>
        <w:tc>
          <w:tcPr>
            <w:tcW w:w="1417" w:type="dxa"/>
          </w:tcPr>
          <w:p w14:paraId="14995D9D" w14:textId="77777777" w:rsidR="00675D6B" w:rsidRDefault="00675D6B" w:rsidP="00AF6E96">
            <w:pPr>
              <w:rPr>
                <w:sz w:val="18"/>
                <w:szCs w:val="18"/>
              </w:rPr>
            </w:pPr>
            <w:r>
              <w:rPr>
                <w:sz w:val="18"/>
                <w:szCs w:val="18"/>
              </w:rPr>
              <w:t>N/A</w:t>
            </w:r>
          </w:p>
        </w:tc>
        <w:tc>
          <w:tcPr>
            <w:tcW w:w="1418" w:type="dxa"/>
          </w:tcPr>
          <w:p w14:paraId="5AA903A9" w14:textId="77777777" w:rsidR="00675D6B" w:rsidRDefault="00675D6B" w:rsidP="00AF6E96">
            <w:pPr>
              <w:rPr>
                <w:sz w:val="18"/>
                <w:szCs w:val="18"/>
              </w:rPr>
            </w:pPr>
            <w:r>
              <w:rPr>
                <w:sz w:val="18"/>
                <w:szCs w:val="18"/>
              </w:rPr>
              <w:t>N/A</w:t>
            </w:r>
          </w:p>
        </w:tc>
        <w:tc>
          <w:tcPr>
            <w:tcW w:w="992" w:type="dxa"/>
          </w:tcPr>
          <w:p w14:paraId="20FE4A01" w14:textId="77777777" w:rsidR="00675D6B" w:rsidRDefault="00675D6B" w:rsidP="00AF6E96">
            <w:pPr>
              <w:rPr>
                <w:sz w:val="18"/>
                <w:szCs w:val="18"/>
              </w:rPr>
            </w:pPr>
            <w:r>
              <w:rPr>
                <w:sz w:val="18"/>
                <w:szCs w:val="18"/>
              </w:rPr>
              <w:t>N/A</w:t>
            </w:r>
          </w:p>
        </w:tc>
        <w:tc>
          <w:tcPr>
            <w:tcW w:w="1985" w:type="dxa"/>
          </w:tcPr>
          <w:p w14:paraId="5669D982" w14:textId="77777777" w:rsidR="00675D6B" w:rsidRDefault="00675D6B" w:rsidP="00AF6E96">
            <w:pPr>
              <w:rPr>
                <w:sz w:val="18"/>
                <w:szCs w:val="18"/>
              </w:rPr>
            </w:pPr>
            <w:r>
              <w:rPr>
                <w:sz w:val="18"/>
                <w:szCs w:val="18"/>
              </w:rPr>
              <w:t xml:space="preserve">- </w:t>
            </w:r>
            <w:r w:rsidRPr="0065783A">
              <w:rPr>
                <w:sz w:val="18"/>
                <w:szCs w:val="18"/>
              </w:rPr>
              <w:t>pain severity score</w:t>
            </w:r>
          </w:p>
          <w:p w14:paraId="35CA4591" w14:textId="77777777" w:rsidR="00675D6B" w:rsidRDefault="00675D6B" w:rsidP="00AF6E96">
            <w:pPr>
              <w:rPr>
                <w:sz w:val="18"/>
                <w:szCs w:val="18"/>
              </w:rPr>
            </w:pPr>
            <w:r>
              <w:rPr>
                <w:sz w:val="18"/>
                <w:szCs w:val="18"/>
              </w:rPr>
              <w:t>-</w:t>
            </w:r>
            <w:r w:rsidRPr="0065783A">
              <w:rPr>
                <w:sz w:val="18"/>
                <w:szCs w:val="18"/>
              </w:rPr>
              <w:t xml:space="preserve"> satisfaction of one visit to fracture clinic</w:t>
            </w:r>
          </w:p>
          <w:p w14:paraId="2BDB9063" w14:textId="77777777" w:rsidR="00675D6B" w:rsidRDefault="00675D6B" w:rsidP="00AF6E96">
            <w:pPr>
              <w:rPr>
                <w:sz w:val="18"/>
                <w:szCs w:val="18"/>
              </w:rPr>
            </w:pPr>
            <w:r>
              <w:rPr>
                <w:sz w:val="18"/>
                <w:szCs w:val="18"/>
              </w:rPr>
              <w:t>- convenience of treatment</w:t>
            </w:r>
          </w:p>
          <w:p w14:paraId="213EEF19" w14:textId="77777777" w:rsidR="00675D6B" w:rsidRDefault="00675D6B" w:rsidP="00AF6E96">
            <w:pPr>
              <w:rPr>
                <w:sz w:val="18"/>
                <w:szCs w:val="18"/>
              </w:rPr>
            </w:pPr>
            <w:r>
              <w:rPr>
                <w:sz w:val="18"/>
                <w:szCs w:val="18"/>
              </w:rPr>
              <w:t>-</w:t>
            </w:r>
            <w:r w:rsidRPr="0065783A">
              <w:rPr>
                <w:sz w:val="18"/>
                <w:szCs w:val="18"/>
              </w:rPr>
              <w:t xml:space="preserve"> cast or splint related complications or complaint</w:t>
            </w:r>
          </w:p>
        </w:tc>
        <w:tc>
          <w:tcPr>
            <w:tcW w:w="850" w:type="dxa"/>
          </w:tcPr>
          <w:p w14:paraId="0667505A" w14:textId="77777777" w:rsidR="00675D6B" w:rsidRDefault="00675D6B" w:rsidP="00AF6E96">
            <w:pPr>
              <w:rPr>
                <w:sz w:val="18"/>
                <w:szCs w:val="18"/>
              </w:rPr>
            </w:pPr>
            <w:r>
              <w:rPr>
                <w:sz w:val="18"/>
                <w:szCs w:val="18"/>
              </w:rPr>
              <w:t>3 weeks</w:t>
            </w:r>
          </w:p>
        </w:tc>
        <w:tc>
          <w:tcPr>
            <w:tcW w:w="1134" w:type="dxa"/>
          </w:tcPr>
          <w:p w14:paraId="44823E00" w14:textId="77777777" w:rsidR="00675D6B" w:rsidRDefault="00675D6B" w:rsidP="00AF6E96">
            <w:pPr>
              <w:rPr>
                <w:sz w:val="18"/>
                <w:szCs w:val="18"/>
              </w:rPr>
            </w:pPr>
            <w:r>
              <w:rPr>
                <w:sz w:val="18"/>
                <w:szCs w:val="18"/>
              </w:rPr>
              <w:t>N/A</w:t>
            </w:r>
          </w:p>
        </w:tc>
        <w:tc>
          <w:tcPr>
            <w:tcW w:w="992" w:type="dxa"/>
          </w:tcPr>
          <w:p w14:paraId="53914D68" w14:textId="77777777" w:rsidR="00675D6B" w:rsidRDefault="00675D6B" w:rsidP="00AF6E96">
            <w:pPr>
              <w:rPr>
                <w:sz w:val="18"/>
                <w:szCs w:val="18"/>
              </w:rPr>
            </w:pPr>
            <w:r>
              <w:rPr>
                <w:sz w:val="18"/>
                <w:szCs w:val="18"/>
              </w:rPr>
              <w:t xml:space="preserve">Yes </w:t>
            </w:r>
            <w:r w:rsidRPr="0065783A">
              <w:rPr>
                <w:sz w:val="18"/>
                <w:szCs w:val="18"/>
                <w:vertAlign w:val="superscript"/>
              </w:rPr>
              <w:t>b</w:t>
            </w:r>
          </w:p>
        </w:tc>
      </w:tr>
      <w:tr w:rsidR="00675D6B" w:rsidRPr="008D5C9E" w14:paraId="55AC8577" w14:textId="77777777" w:rsidTr="00BC5ABA">
        <w:tc>
          <w:tcPr>
            <w:tcW w:w="1418" w:type="dxa"/>
          </w:tcPr>
          <w:p w14:paraId="0379C695" w14:textId="77777777" w:rsidR="00675D6B" w:rsidRDefault="00675D6B" w:rsidP="00AF6E96">
            <w:pPr>
              <w:rPr>
                <w:sz w:val="18"/>
                <w:szCs w:val="18"/>
              </w:rPr>
            </w:pPr>
            <w:r>
              <w:rPr>
                <w:sz w:val="18"/>
                <w:szCs w:val="18"/>
              </w:rPr>
              <w:lastRenderedPageBreak/>
              <w:t>Williams et al.</w:t>
            </w:r>
          </w:p>
          <w:p w14:paraId="71C400EB" w14:textId="77777777" w:rsidR="00675D6B" w:rsidRDefault="00675D6B" w:rsidP="00AF6E96">
            <w:pPr>
              <w:rPr>
                <w:sz w:val="18"/>
                <w:szCs w:val="18"/>
              </w:rPr>
            </w:pPr>
            <w:r>
              <w:rPr>
                <w:sz w:val="18"/>
                <w:szCs w:val="18"/>
              </w:rPr>
              <w:t>(2013)</w:t>
            </w:r>
          </w:p>
          <w:p w14:paraId="07641975" w14:textId="77777777" w:rsidR="00675D6B" w:rsidRDefault="00675D6B" w:rsidP="00AF6E96">
            <w:pPr>
              <w:rPr>
                <w:sz w:val="18"/>
                <w:szCs w:val="18"/>
              </w:rPr>
            </w:pPr>
          </w:p>
        </w:tc>
        <w:tc>
          <w:tcPr>
            <w:tcW w:w="992" w:type="dxa"/>
          </w:tcPr>
          <w:p w14:paraId="26314824" w14:textId="77777777" w:rsidR="00675D6B" w:rsidRDefault="00675D6B" w:rsidP="00AF6E96">
            <w:pPr>
              <w:rPr>
                <w:sz w:val="18"/>
                <w:szCs w:val="18"/>
              </w:rPr>
            </w:pPr>
            <w:r>
              <w:rPr>
                <w:sz w:val="18"/>
                <w:szCs w:val="18"/>
              </w:rPr>
              <w:t>94</w:t>
            </w:r>
          </w:p>
          <w:p w14:paraId="4BA94E1E" w14:textId="77777777" w:rsidR="00675D6B" w:rsidRDefault="00675D6B" w:rsidP="00AF6E96">
            <w:pPr>
              <w:rPr>
                <w:sz w:val="18"/>
                <w:szCs w:val="18"/>
              </w:rPr>
            </w:pPr>
            <w:r>
              <w:rPr>
                <w:sz w:val="18"/>
                <w:szCs w:val="18"/>
              </w:rPr>
              <w:t>(59/35)</w:t>
            </w:r>
          </w:p>
        </w:tc>
        <w:tc>
          <w:tcPr>
            <w:tcW w:w="851" w:type="dxa"/>
          </w:tcPr>
          <w:p w14:paraId="3926A1DA" w14:textId="77777777" w:rsidR="00675D6B" w:rsidRPr="0065783A" w:rsidRDefault="00675D6B" w:rsidP="00AF6E96">
            <w:pPr>
              <w:rPr>
                <w:sz w:val="18"/>
                <w:szCs w:val="18"/>
              </w:rPr>
            </w:pPr>
            <w:r>
              <w:rPr>
                <w:sz w:val="18"/>
                <w:szCs w:val="18"/>
              </w:rPr>
              <w:t xml:space="preserve">N/A </w:t>
            </w:r>
            <w:r w:rsidRPr="0065783A">
              <w:rPr>
                <w:sz w:val="18"/>
                <w:szCs w:val="18"/>
                <w:vertAlign w:val="superscript"/>
              </w:rPr>
              <w:t>a</w:t>
            </w:r>
          </w:p>
        </w:tc>
        <w:tc>
          <w:tcPr>
            <w:tcW w:w="1134" w:type="dxa"/>
          </w:tcPr>
          <w:p w14:paraId="1A1BF094" w14:textId="77777777" w:rsidR="00675D6B" w:rsidRDefault="00675D6B" w:rsidP="00AF6E96">
            <w:pPr>
              <w:rPr>
                <w:sz w:val="18"/>
                <w:szCs w:val="18"/>
              </w:rPr>
            </w:pPr>
            <w:proofErr w:type="gramStart"/>
            <w:r>
              <w:rPr>
                <w:sz w:val="18"/>
                <w:szCs w:val="18"/>
              </w:rPr>
              <w:t>51 :</w:t>
            </w:r>
            <w:proofErr w:type="gramEnd"/>
            <w:r>
              <w:rPr>
                <w:sz w:val="18"/>
                <w:szCs w:val="18"/>
              </w:rPr>
              <w:t xml:space="preserve"> 43</w:t>
            </w:r>
          </w:p>
        </w:tc>
        <w:tc>
          <w:tcPr>
            <w:tcW w:w="2126" w:type="dxa"/>
          </w:tcPr>
          <w:p w14:paraId="3CE92313" w14:textId="77777777" w:rsidR="00675D6B" w:rsidRPr="0016391B" w:rsidRDefault="00675D6B" w:rsidP="00AF6E96">
            <w:pPr>
              <w:rPr>
                <w:b/>
                <w:bCs/>
                <w:sz w:val="18"/>
                <w:szCs w:val="18"/>
              </w:rPr>
            </w:pPr>
            <w:r w:rsidRPr="0016391B">
              <w:rPr>
                <w:b/>
                <w:bCs/>
                <w:sz w:val="18"/>
                <w:szCs w:val="18"/>
              </w:rPr>
              <w:t>Inclusion:</w:t>
            </w:r>
          </w:p>
          <w:p w14:paraId="56F36A6A" w14:textId="77777777" w:rsidR="00675D6B" w:rsidRDefault="00675D6B" w:rsidP="00AF6E96">
            <w:pPr>
              <w:rPr>
                <w:sz w:val="18"/>
                <w:szCs w:val="18"/>
              </w:rPr>
            </w:pPr>
            <w:r>
              <w:rPr>
                <w:sz w:val="18"/>
                <w:szCs w:val="18"/>
              </w:rPr>
              <w:t xml:space="preserve">- age 2 to 17yr </w:t>
            </w:r>
          </w:p>
          <w:p w14:paraId="53464E88" w14:textId="77777777" w:rsidR="00675D6B" w:rsidRDefault="00675D6B" w:rsidP="00AF6E96">
            <w:pPr>
              <w:rPr>
                <w:sz w:val="18"/>
                <w:szCs w:val="18"/>
              </w:rPr>
            </w:pPr>
            <w:r>
              <w:rPr>
                <w:sz w:val="18"/>
                <w:szCs w:val="18"/>
              </w:rPr>
              <w:t xml:space="preserve">- </w:t>
            </w:r>
            <w:r w:rsidRPr="0016391B">
              <w:rPr>
                <w:sz w:val="18"/>
                <w:szCs w:val="18"/>
              </w:rPr>
              <w:t>radiographically confirmed distal radius buckle fracture</w:t>
            </w:r>
          </w:p>
          <w:p w14:paraId="4B3F9212" w14:textId="77777777" w:rsidR="00675D6B" w:rsidRPr="0016391B" w:rsidRDefault="00675D6B" w:rsidP="00AF6E96">
            <w:pPr>
              <w:rPr>
                <w:b/>
                <w:bCs/>
                <w:sz w:val="18"/>
                <w:szCs w:val="18"/>
              </w:rPr>
            </w:pPr>
            <w:r w:rsidRPr="0016391B">
              <w:rPr>
                <w:b/>
                <w:bCs/>
                <w:sz w:val="18"/>
                <w:szCs w:val="18"/>
              </w:rPr>
              <w:t xml:space="preserve">Exclusion: </w:t>
            </w:r>
          </w:p>
          <w:p w14:paraId="60D38E22" w14:textId="77777777" w:rsidR="00675D6B" w:rsidRDefault="00675D6B" w:rsidP="00AF6E96">
            <w:pPr>
              <w:rPr>
                <w:sz w:val="18"/>
                <w:szCs w:val="18"/>
              </w:rPr>
            </w:pPr>
            <w:r>
              <w:rPr>
                <w:sz w:val="18"/>
                <w:szCs w:val="18"/>
              </w:rPr>
              <w:t xml:space="preserve">- </w:t>
            </w:r>
            <w:r w:rsidRPr="0016391B">
              <w:rPr>
                <w:sz w:val="18"/>
                <w:szCs w:val="18"/>
              </w:rPr>
              <w:t>skeletally mature patients</w:t>
            </w:r>
          </w:p>
          <w:p w14:paraId="2F00A723" w14:textId="77777777" w:rsidR="00675D6B" w:rsidRDefault="00675D6B" w:rsidP="00AF6E96">
            <w:pPr>
              <w:rPr>
                <w:sz w:val="18"/>
                <w:szCs w:val="18"/>
              </w:rPr>
            </w:pPr>
            <w:r>
              <w:rPr>
                <w:sz w:val="18"/>
                <w:szCs w:val="18"/>
              </w:rPr>
              <w:t xml:space="preserve">- </w:t>
            </w:r>
            <w:r w:rsidRPr="0016391B">
              <w:rPr>
                <w:sz w:val="18"/>
                <w:szCs w:val="18"/>
              </w:rPr>
              <w:t>previous distal radius buckle fractures</w:t>
            </w:r>
          </w:p>
          <w:p w14:paraId="4718BC10" w14:textId="77777777" w:rsidR="00675D6B" w:rsidRPr="0016391B" w:rsidRDefault="00675D6B" w:rsidP="00AF6E96">
            <w:pPr>
              <w:rPr>
                <w:sz w:val="18"/>
                <w:szCs w:val="18"/>
              </w:rPr>
            </w:pPr>
            <w:r>
              <w:rPr>
                <w:sz w:val="18"/>
                <w:szCs w:val="18"/>
              </w:rPr>
              <w:t xml:space="preserve">- </w:t>
            </w:r>
            <w:r w:rsidRPr="0016391B">
              <w:rPr>
                <w:sz w:val="18"/>
                <w:szCs w:val="18"/>
              </w:rPr>
              <w:t>concurrent other fractures except an ipsilateral distal ulnar buckle fracture</w:t>
            </w:r>
          </w:p>
        </w:tc>
        <w:tc>
          <w:tcPr>
            <w:tcW w:w="1417" w:type="dxa"/>
          </w:tcPr>
          <w:p w14:paraId="1AF37D31" w14:textId="77777777" w:rsidR="00675D6B" w:rsidRDefault="00675D6B" w:rsidP="00AF6E96">
            <w:pPr>
              <w:rPr>
                <w:sz w:val="18"/>
                <w:szCs w:val="18"/>
              </w:rPr>
            </w:pPr>
            <w:r>
              <w:rPr>
                <w:sz w:val="18"/>
                <w:szCs w:val="18"/>
              </w:rPr>
              <w:t>Yes</w:t>
            </w:r>
          </w:p>
        </w:tc>
        <w:tc>
          <w:tcPr>
            <w:tcW w:w="1418" w:type="dxa"/>
          </w:tcPr>
          <w:p w14:paraId="0A16904E" w14:textId="77777777" w:rsidR="00675D6B" w:rsidRDefault="00675D6B" w:rsidP="00AF6E96">
            <w:pPr>
              <w:rPr>
                <w:sz w:val="18"/>
                <w:szCs w:val="18"/>
              </w:rPr>
            </w:pPr>
            <w:r>
              <w:rPr>
                <w:sz w:val="18"/>
                <w:szCs w:val="18"/>
              </w:rPr>
              <w:t>C</w:t>
            </w:r>
            <w:r w:rsidRPr="0016391B">
              <w:rPr>
                <w:sz w:val="18"/>
                <w:szCs w:val="18"/>
              </w:rPr>
              <w:t>omputer-generated with a block size of 10</w:t>
            </w:r>
          </w:p>
        </w:tc>
        <w:tc>
          <w:tcPr>
            <w:tcW w:w="992" w:type="dxa"/>
          </w:tcPr>
          <w:p w14:paraId="1EAAA919" w14:textId="77777777" w:rsidR="00675D6B" w:rsidRDefault="00675D6B" w:rsidP="00AF6E96">
            <w:pPr>
              <w:rPr>
                <w:sz w:val="18"/>
                <w:szCs w:val="18"/>
              </w:rPr>
            </w:pPr>
            <w:r>
              <w:rPr>
                <w:sz w:val="18"/>
                <w:szCs w:val="18"/>
              </w:rPr>
              <w:t>N/A</w:t>
            </w:r>
          </w:p>
        </w:tc>
        <w:tc>
          <w:tcPr>
            <w:tcW w:w="1985" w:type="dxa"/>
          </w:tcPr>
          <w:p w14:paraId="1425F6BB" w14:textId="77777777" w:rsidR="00675D6B" w:rsidRDefault="00675D6B" w:rsidP="00AF6E96">
            <w:pPr>
              <w:rPr>
                <w:sz w:val="18"/>
                <w:szCs w:val="18"/>
              </w:rPr>
            </w:pPr>
            <w:r>
              <w:rPr>
                <w:sz w:val="18"/>
                <w:szCs w:val="18"/>
              </w:rPr>
              <w:t xml:space="preserve">- </w:t>
            </w:r>
            <w:r w:rsidRPr="0016391B">
              <w:rPr>
                <w:sz w:val="18"/>
                <w:szCs w:val="18"/>
              </w:rPr>
              <w:t>satisfaction</w:t>
            </w:r>
          </w:p>
          <w:p w14:paraId="0F7724D3" w14:textId="77777777" w:rsidR="00675D6B" w:rsidRDefault="00675D6B" w:rsidP="00AF6E96">
            <w:pPr>
              <w:rPr>
                <w:sz w:val="18"/>
                <w:szCs w:val="18"/>
              </w:rPr>
            </w:pPr>
            <w:r>
              <w:rPr>
                <w:sz w:val="18"/>
                <w:szCs w:val="18"/>
              </w:rPr>
              <w:t>-</w:t>
            </w:r>
            <w:r w:rsidRPr="0016391B">
              <w:rPr>
                <w:sz w:val="18"/>
                <w:szCs w:val="18"/>
              </w:rPr>
              <w:t xml:space="preserve"> convenience </w:t>
            </w:r>
          </w:p>
          <w:p w14:paraId="68CC71AA" w14:textId="77777777" w:rsidR="00675D6B" w:rsidRDefault="00675D6B" w:rsidP="00AF6E96">
            <w:pPr>
              <w:rPr>
                <w:sz w:val="18"/>
                <w:szCs w:val="18"/>
              </w:rPr>
            </w:pPr>
            <w:r>
              <w:rPr>
                <w:sz w:val="18"/>
                <w:szCs w:val="18"/>
              </w:rPr>
              <w:t xml:space="preserve">- </w:t>
            </w:r>
            <w:r w:rsidRPr="0016391B">
              <w:rPr>
                <w:sz w:val="18"/>
                <w:szCs w:val="18"/>
              </w:rPr>
              <w:t>pain</w:t>
            </w:r>
          </w:p>
        </w:tc>
        <w:tc>
          <w:tcPr>
            <w:tcW w:w="850" w:type="dxa"/>
          </w:tcPr>
          <w:p w14:paraId="06317DBF" w14:textId="77777777" w:rsidR="00675D6B" w:rsidRDefault="00675D6B" w:rsidP="00AF6E96">
            <w:pPr>
              <w:rPr>
                <w:sz w:val="18"/>
                <w:szCs w:val="18"/>
              </w:rPr>
            </w:pPr>
            <w:r w:rsidRPr="0016391B">
              <w:rPr>
                <w:sz w:val="18"/>
                <w:szCs w:val="18"/>
              </w:rPr>
              <w:t>3 weeks</w:t>
            </w:r>
          </w:p>
        </w:tc>
        <w:tc>
          <w:tcPr>
            <w:tcW w:w="1134" w:type="dxa"/>
          </w:tcPr>
          <w:p w14:paraId="33B1CCF2" w14:textId="77777777" w:rsidR="00675D6B" w:rsidRDefault="00675D6B" w:rsidP="00AF6E96">
            <w:pPr>
              <w:rPr>
                <w:sz w:val="18"/>
                <w:szCs w:val="18"/>
              </w:rPr>
            </w:pPr>
            <w:r>
              <w:rPr>
                <w:sz w:val="18"/>
                <w:szCs w:val="18"/>
              </w:rPr>
              <w:t>Yes</w:t>
            </w:r>
          </w:p>
        </w:tc>
        <w:tc>
          <w:tcPr>
            <w:tcW w:w="992" w:type="dxa"/>
          </w:tcPr>
          <w:p w14:paraId="47104178" w14:textId="77777777" w:rsidR="00675D6B" w:rsidRDefault="00675D6B" w:rsidP="00AF6E96">
            <w:pPr>
              <w:rPr>
                <w:sz w:val="18"/>
                <w:szCs w:val="18"/>
              </w:rPr>
            </w:pPr>
            <w:r>
              <w:rPr>
                <w:sz w:val="18"/>
                <w:szCs w:val="18"/>
              </w:rPr>
              <w:t>Yes</w:t>
            </w:r>
          </w:p>
        </w:tc>
      </w:tr>
    </w:tbl>
    <w:p w14:paraId="5688FD25" w14:textId="564113BB" w:rsidR="00675D6B" w:rsidRPr="0065783A" w:rsidRDefault="00675D6B" w:rsidP="00AF6E96">
      <w:pPr>
        <w:rPr>
          <w:sz w:val="18"/>
          <w:szCs w:val="18"/>
        </w:rPr>
      </w:pPr>
      <w:r w:rsidRPr="0065783A">
        <w:rPr>
          <w:sz w:val="18"/>
          <w:szCs w:val="18"/>
        </w:rPr>
        <w:t>N= Number, M=Male, F=Female, NA=data or information was not available or discussed in the study, yr=year, F/U=Follow up</w:t>
      </w:r>
      <w:r w:rsidRPr="0065783A">
        <w:rPr>
          <w:sz w:val="18"/>
          <w:szCs w:val="18"/>
        </w:rPr>
        <w:br/>
      </w:r>
      <w:r w:rsidRPr="0065783A">
        <w:rPr>
          <w:sz w:val="18"/>
          <w:szCs w:val="18"/>
          <w:vertAlign w:val="superscript"/>
        </w:rPr>
        <w:t>a</w:t>
      </w:r>
      <w:r w:rsidRPr="0065783A">
        <w:rPr>
          <w:sz w:val="18"/>
          <w:szCs w:val="18"/>
        </w:rPr>
        <w:t xml:space="preserve"> </w:t>
      </w:r>
      <w:r>
        <w:rPr>
          <w:sz w:val="18"/>
          <w:szCs w:val="18"/>
        </w:rPr>
        <w:t>R</w:t>
      </w:r>
      <w:r w:rsidRPr="0065783A">
        <w:rPr>
          <w:sz w:val="18"/>
          <w:szCs w:val="18"/>
        </w:rPr>
        <w:t>ange and mean of age of overall population of study was not presented but the figures were presented separately per group</w:t>
      </w:r>
      <w:r>
        <w:rPr>
          <w:sz w:val="18"/>
          <w:szCs w:val="18"/>
        </w:rPr>
        <w:br/>
      </w:r>
      <w:r w:rsidRPr="0016391B">
        <w:rPr>
          <w:sz w:val="18"/>
          <w:szCs w:val="18"/>
          <w:vertAlign w:val="superscript"/>
        </w:rPr>
        <w:t>b</w:t>
      </w:r>
      <w:r w:rsidRPr="0065783A">
        <w:rPr>
          <w:sz w:val="18"/>
          <w:szCs w:val="18"/>
        </w:rPr>
        <w:t xml:space="preserve"> </w:t>
      </w:r>
      <w:r w:rsidR="005C4A1D">
        <w:rPr>
          <w:sz w:val="18"/>
          <w:szCs w:val="18"/>
        </w:rPr>
        <w:t>T</w:t>
      </w:r>
      <w:r>
        <w:rPr>
          <w:sz w:val="18"/>
          <w:szCs w:val="18"/>
        </w:rPr>
        <w:t>here is superficial touch on statistical analysis. See relevant under ‘Criteria of potentially included studies’ under ‘Result’ chapter.</w:t>
      </w:r>
    </w:p>
    <w:p w14:paraId="41884B83" w14:textId="4AE2C072" w:rsidR="00675D6B" w:rsidRDefault="00675D6B" w:rsidP="00AF6E96">
      <w:pPr>
        <w:rPr>
          <w:rFonts w:eastAsia="Times New Roman" w:cstheme="minorHAnsi"/>
          <w:b/>
          <w:smallCaps/>
          <w:color w:val="1F497D"/>
          <w:sz w:val="24"/>
          <w:szCs w:val="24"/>
          <w:lang w:val="en-US"/>
        </w:rPr>
      </w:pPr>
      <w:r>
        <w:rPr>
          <w:rFonts w:eastAsia="Times New Roman" w:cstheme="minorHAnsi"/>
          <w:b/>
          <w:smallCaps/>
          <w:color w:val="1F497D"/>
          <w:sz w:val="24"/>
          <w:szCs w:val="24"/>
          <w:lang w:val="en-US"/>
        </w:rPr>
        <w:br w:type="page"/>
      </w:r>
    </w:p>
    <w:p w14:paraId="43138931" w14:textId="77777777" w:rsidR="00675D6B" w:rsidRDefault="00675D6B" w:rsidP="00AF6E96">
      <w:pPr>
        <w:rPr>
          <w:rFonts w:eastAsia="Times New Roman" w:cstheme="minorHAnsi"/>
          <w:b/>
          <w:smallCaps/>
          <w:color w:val="1F497D"/>
          <w:sz w:val="24"/>
          <w:szCs w:val="24"/>
          <w:lang w:val="en-US"/>
        </w:rPr>
        <w:sectPr w:rsidR="00675D6B" w:rsidSect="00920B8B">
          <w:footerReference w:type="default" r:id="rId12"/>
          <w:pgSz w:w="16838" w:h="11906" w:orient="landscape"/>
          <w:pgMar w:top="1440" w:right="1440" w:bottom="1440" w:left="1440" w:header="709" w:footer="709" w:gutter="0"/>
          <w:cols w:space="708"/>
          <w:docGrid w:linePitch="360"/>
        </w:sectPr>
      </w:pPr>
    </w:p>
    <w:p w14:paraId="39AD20E9" w14:textId="65F32F28" w:rsidR="007F49BF" w:rsidRPr="00E07C42" w:rsidRDefault="00B042E7" w:rsidP="00AF6E96">
      <w:pPr>
        <w:rPr>
          <w:lang w:val="en-US"/>
        </w:rPr>
      </w:pPr>
      <w:bookmarkStart w:id="44" w:name="_Toc396767041"/>
      <w:r>
        <w:rPr>
          <w:lang w:val="en-US"/>
        </w:rPr>
        <w:lastRenderedPageBreak/>
        <w:t xml:space="preserve">Table </w:t>
      </w:r>
      <w:r w:rsidR="00AF6E96">
        <w:rPr>
          <w:lang w:val="en-US"/>
        </w:rPr>
        <w:t xml:space="preserve">3 </w:t>
      </w:r>
      <w:r w:rsidR="007F49BF">
        <w:rPr>
          <w:lang w:val="en-US"/>
        </w:rPr>
        <w:t xml:space="preserve">- </w:t>
      </w:r>
      <w:r w:rsidR="007F49BF" w:rsidRPr="007F49BF">
        <w:rPr>
          <w:lang w:val="en-US"/>
        </w:rPr>
        <w:t>Assessment of risk of bias in the included studies</w:t>
      </w:r>
      <w:bookmarkEnd w:id="44"/>
    </w:p>
    <w:p w14:paraId="7A3109D0" w14:textId="296F374D" w:rsidR="00E07C42" w:rsidRPr="00377DF8" w:rsidRDefault="00E07C42" w:rsidP="00AF6E96">
      <w:pPr>
        <w:rPr>
          <w:rFonts w:cstheme="minorHAnsi"/>
        </w:rPr>
      </w:pPr>
    </w:p>
    <w:tbl>
      <w:tblPr>
        <w:tblW w:w="9782" w:type="dxa"/>
        <w:tblCellSpacing w:w="0" w:type="dxa"/>
        <w:tblInd w:w="-294" w:type="dxa"/>
        <w:tblCellMar>
          <w:top w:w="15" w:type="dxa"/>
          <w:left w:w="15" w:type="dxa"/>
          <w:bottom w:w="15" w:type="dxa"/>
          <w:right w:w="15" w:type="dxa"/>
        </w:tblCellMar>
        <w:tblLook w:val="04A0" w:firstRow="1" w:lastRow="0" w:firstColumn="1" w:lastColumn="0" w:noHBand="0" w:noVBand="1"/>
      </w:tblPr>
      <w:tblGrid>
        <w:gridCol w:w="2269"/>
        <w:gridCol w:w="7513"/>
      </w:tblGrid>
      <w:tr w:rsidR="007F49BF" w:rsidRPr="007F49BF" w14:paraId="5B693C45" w14:textId="77777777" w:rsidTr="007F49BF">
        <w:trPr>
          <w:cantSplit/>
          <w:tblCellSpacing w:w="0" w:type="dxa"/>
        </w:trPr>
        <w:tc>
          <w:tcPr>
            <w:tcW w:w="978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44237F2" w14:textId="06D7E0C4" w:rsidR="007F49BF" w:rsidRPr="007F49BF" w:rsidRDefault="007F49BF" w:rsidP="00AF6E96">
            <w:pPr>
              <w:rPr>
                <w:rFonts w:cstheme="minorHAnsi"/>
                <w:sz w:val="20"/>
                <w:szCs w:val="20"/>
              </w:rPr>
            </w:pPr>
            <w:r w:rsidRPr="007F49BF">
              <w:rPr>
                <w:rFonts w:cstheme="minorHAnsi"/>
                <w:b/>
                <w:bCs/>
                <w:sz w:val="20"/>
                <w:szCs w:val="20"/>
              </w:rPr>
              <w:t xml:space="preserve">RANDOM SEQUENCE GENERATION </w:t>
            </w:r>
          </w:p>
        </w:tc>
      </w:tr>
      <w:tr w:rsidR="007F49BF" w:rsidRPr="007F49BF" w14:paraId="6088D00A"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6F39F87B" w14:textId="77777777" w:rsidR="007F49BF" w:rsidRPr="007F49BF" w:rsidRDefault="007F49BF" w:rsidP="00AF6E96">
            <w:pPr>
              <w:rPr>
                <w:rFonts w:cstheme="minorHAnsi"/>
                <w:sz w:val="20"/>
                <w:szCs w:val="20"/>
              </w:rPr>
            </w:pPr>
            <w:r w:rsidRPr="007F49BF">
              <w:rPr>
                <w:rFonts w:cstheme="minorHAnsi"/>
                <w:sz w:val="20"/>
                <w:szCs w:val="20"/>
              </w:rPr>
              <w:t xml:space="preserve">Plint et al., 2006 </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1DFE8996" w14:textId="77777777" w:rsidR="007F49BF" w:rsidRPr="007F49BF" w:rsidRDefault="007F49BF" w:rsidP="00AF6E96">
            <w:pPr>
              <w:rPr>
                <w:rFonts w:cstheme="minorHAnsi"/>
              </w:rPr>
            </w:pPr>
            <w:r w:rsidRPr="007F49BF">
              <w:rPr>
                <w:rFonts w:cstheme="minorHAnsi"/>
              </w:rPr>
              <w:t>‘Low risk’</w:t>
            </w:r>
          </w:p>
          <w:p w14:paraId="48F0FF8E" w14:textId="77777777" w:rsidR="007F49BF" w:rsidRPr="007F49BF" w:rsidRDefault="007F49BF" w:rsidP="00AF6E96">
            <w:pPr>
              <w:rPr>
                <w:rFonts w:cstheme="minorHAnsi"/>
              </w:rPr>
            </w:pPr>
            <w:r w:rsidRPr="007F49BF">
              <w:rPr>
                <w:rFonts w:cstheme="minorHAnsi"/>
              </w:rPr>
              <w:t>Using a computer random number generator;</w:t>
            </w:r>
          </w:p>
        </w:tc>
      </w:tr>
      <w:tr w:rsidR="007F49BF" w:rsidRPr="007F49BF" w14:paraId="7686ECE1"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7BA1E738" w14:textId="77777777" w:rsidR="007F49BF" w:rsidRPr="007F49BF" w:rsidRDefault="007F49BF" w:rsidP="00AF6E96">
            <w:pPr>
              <w:rPr>
                <w:rFonts w:cstheme="minorHAnsi"/>
                <w:sz w:val="20"/>
                <w:szCs w:val="20"/>
              </w:rPr>
            </w:pPr>
            <w:r w:rsidRPr="007F49BF">
              <w:rPr>
                <w:rFonts w:cstheme="minorHAnsi"/>
                <w:sz w:val="20"/>
                <w:szCs w:val="20"/>
              </w:rPr>
              <w:t>Williams et al., 2013</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0D305C83" w14:textId="77777777" w:rsidR="007F49BF" w:rsidRPr="007F49BF" w:rsidRDefault="007F49BF" w:rsidP="00AF6E96">
            <w:pPr>
              <w:rPr>
                <w:rFonts w:cstheme="minorHAnsi"/>
              </w:rPr>
            </w:pPr>
            <w:r w:rsidRPr="007F49BF">
              <w:rPr>
                <w:rFonts w:cstheme="minorHAnsi"/>
              </w:rPr>
              <w:t>‘Low risk’</w:t>
            </w:r>
          </w:p>
          <w:p w14:paraId="1359C929" w14:textId="77777777" w:rsidR="007F49BF" w:rsidRPr="007F49BF" w:rsidRDefault="007F49BF" w:rsidP="00AF6E96">
            <w:pPr>
              <w:rPr>
                <w:rFonts w:cstheme="minorHAnsi"/>
              </w:rPr>
            </w:pPr>
            <w:r w:rsidRPr="007F49BF">
              <w:rPr>
                <w:rFonts w:cstheme="minorHAnsi"/>
              </w:rPr>
              <w:t>Using a computer random number generator;</w:t>
            </w:r>
          </w:p>
        </w:tc>
      </w:tr>
      <w:tr w:rsidR="007F49BF" w:rsidRPr="007F49BF" w14:paraId="26F81EE8" w14:textId="77777777" w:rsidTr="007F49BF">
        <w:trPr>
          <w:tblCellSpacing w:w="0" w:type="dxa"/>
        </w:trPr>
        <w:tc>
          <w:tcPr>
            <w:tcW w:w="9782"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313A5C6A" w14:textId="77777777" w:rsidR="007F49BF" w:rsidRPr="007F49BF" w:rsidRDefault="007F49BF" w:rsidP="00AF6E96">
            <w:pPr>
              <w:rPr>
                <w:rFonts w:cstheme="minorHAnsi"/>
                <w:sz w:val="20"/>
                <w:szCs w:val="20"/>
              </w:rPr>
            </w:pPr>
            <w:r w:rsidRPr="007F49BF">
              <w:rPr>
                <w:rFonts w:cstheme="minorHAnsi"/>
                <w:b/>
                <w:bCs/>
                <w:sz w:val="20"/>
                <w:szCs w:val="20"/>
              </w:rPr>
              <w:t xml:space="preserve">ALLOCATION CONCEALMENT </w:t>
            </w:r>
          </w:p>
        </w:tc>
      </w:tr>
      <w:tr w:rsidR="007F49BF" w:rsidRPr="007F49BF" w14:paraId="11E3BD31"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17C6804D" w14:textId="77777777" w:rsidR="007F49BF" w:rsidRPr="007F49BF" w:rsidRDefault="007F49BF" w:rsidP="00AF6E96">
            <w:pPr>
              <w:rPr>
                <w:rFonts w:cstheme="minorHAnsi"/>
                <w:sz w:val="20"/>
                <w:szCs w:val="20"/>
              </w:rPr>
            </w:pPr>
            <w:r w:rsidRPr="007F49BF">
              <w:rPr>
                <w:rFonts w:cstheme="minorHAnsi"/>
                <w:sz w:val="20"/>
                <w:szCs w:val="20"/>
              </w:rPr>
              <w:t>Plint et al., 2006</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3534D188" w14:textId="77777777" w:rsidR="007F49BF" w:rsidRPr="007F49BF" w:rsidRDefault="007F49BF" w:rsidP="00AF6E96">
            <w:pPr>
              <w:rPr>
                <w:rFonts w:cstheme="minorHAnsi"/>
              </w:rPr>
            </w:pPr>
            <w:r w:rsidRPr="007F49BF">
              <w:rPr>
                <w:rFonts w:cstheme="minorHAnsi"/>
              </w:rPr>
              <w:t>‘Low risk’</w:t>
            </w:r>
          </w:p>
          <w:p w14:paraId="465713CA" w14:textId="77777777" w:rsidR="007F49BF" w:rsidRPr="007F49BF" w:rsidRDefault="007F49BF" w:rsidP="00AF6E96">
            <w:pPr>
              <w:rPr>
                <w:rFonts w:cstheme="minorHAnsi"/>
              </w:rPr>
            </w:pPr>
            <w:r w:rsidRPr="007F49BF">
              <w:rPr>
                <w:rFonts w:cstheme="minorHAnsi"/>
              </w:rPr>
              <w:t>Central allocation (web-based); initially then:</w:t>
            </w:r>
          </w:p>
          <w:p w14:paraId="159F0DDE" w14:textId="77777777" w:rsidR="007F49BF" w:rsidRPr="007F49BF" w:rsidRDefault="007F49BF" w:rsidP="00AF6E96">
            <w:pPr>
              <w:rPr>
                <w:rFonts w:cstheme="minorHAnsi"/>
              </w:rPr>
            </w:pPr>
            <w:r w:rsidRPr="007F49BF">
              <w:rPr>
                <w:rFonts w:cstheme="minorHAnsi"/>
              </w:rPr>
              <w:t>Sequentially numbered, opaque, sealed envelopes.</w:t>
            </w:r>
          </w:p>
        </w:tc>
      </w:tr>
      <w:tr w:rsidR="007F49BF" w:rsidRPr="007F49BF" w14:paraId="36A33C3B"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68DDB579" w14:textId="77777777" w:rsidR="007F49BF" w:rsidRPr="007F49BF" w:rsidRDefault="007F49BF" w:rsidP="00AF6E96">
            <w:pPr>
              <w:rPr>
                <w:rFonts w:cstheme="minorHAnsi"/>
                <w:sz w:val="20"/>
                <w:szCs w:val="20"/>
              </w:rPr>
            </w:pPr>
            <w:r w:rsidRPr="007F49BF">
              <w:rPr>
                <w:rFonts w:cstheme="minorHAnsi"/>
                <w:sz w:val="20"/>
                <w:szCs w:val="20"/>
              </w:rPr>
              <w:t>Williams et al., 2013</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1C87D766" w14:textId="77777777" w:rsidR="007F49BF" w:rsidRPr="007F49BF" w:rsidRDefault="007F49BF" w:rsidP="00AF6E96">
            <w:pPr>
              <w:rPr>
                <w:rFonts w:cstheme="minorHAnsi"/>
              </w:rPr>
            </w:pPr>
            <w:r w:rsidRPr="007F49BF">
              <w:rPr>
                <w:rFonts w:cstheme="minorHAnsi"/>
              </w:rPr>
              <w:t>‘Low risk’</w:t>
            </w:r>
          </w:p>
          <w:p w14:paraId="225F21DF" w14:textId="77777777" w:rsidR="007F49BF" w:rsidRPr="007F49BF" w:rsidRDefault="007F49BF" w:rsidP="00AF6E96">
            <w:pPr>
              <w:rPr>
                <w:rFonts w:cstheme="minorHAnsi"/>
              </w:rPr>
            </w:pPr>
            <w:r w:rsidRPr="007F49BF">
              <w:rPr>
                <w:rFonts w:cstheme="minorHAnsi"/>
              </w:rPr>
              <w:t>Sequentially numbered, opaque, sealed envelopes.</w:t>
            </w:r>
          </w:p>
        </w:tc>
      </w:tr>
      <w:tr w:rsidR="007F49BF" w:rsidRPr="007F49BF" w14:paraId="58A62D3D" w14:textId="77777777" w:rsidTr="007F49BF">
        <w:trPr>
          <w:tblCellSpacing w:w="0" w:type="dxa"/>
        </w:trPr>
        <w:tc>
          <w:tcPr>
            <w:tcW w:w="9782"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2F4A8391" w14:textId="77777777" w:rsidR="007F49BF" w:rsidRPr="007F49BF" w:rsidRDefault="007F49BF" w:rsidP="00AF6E96">
            <w:pPr>
              <w:rPr>
                <w:rFonts w:cstheme="minorHAnsi"/>
                <w:sz w:val="20"/>
                <w:szCs w:val="20"/>
              </w:rPr>
            </w:pPr>
            <w:r w:rsidRPr="007F49BF">
              <w:rPr>
                <w:rFonts w:cstheme="minorHAnsi"/>
                <w:b/>
                <w:bCs/>
                <w:sz w:val="20"/>
                <w:szCs w:val="20"/>
              </w:rPr>
              <w:t>BLINDING OF PARTICIPANTS AND PERSONNEL</w:t>
            </w:r>
          </w:p>
        </w:tc>
      </w:tr>
      <w:tr w:rsidR="007F49BF" w:rsidRPr="007F49BF" w14:paraId="100F310F"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7A2255A6" w14:textId="77777777" w:rsidR="007F49BF" w:rsidRPr="007F49BF" w:rsidRDefault="007F49BF" w:rsidP="00AF6E96">
            <w:pPr>
              <w:rPr>
                <w:rFonts w:cstheme="minorHAnsi"/>
                <w:sz w:val="20"/>
                <w:szCs w:val="20"/>
              </w:rPr>
            </w:pPr>
            <w:r w:rsidRPr="007F49BF">
              <w:rPr>
                <w:rFonts w:cstheme="minorHAnsi"/>
                <w:sz w:val="20"/>
                <w:szCs w:val="20"/>
              </w:rPr>
              <w:t>Plint et al., 2006</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123CAF01" w14:textId="77777777" w:rsidR="007F49BF" w:rsidRPr="007F49BF" w:rsidRDefault="007F49BF" w:rsidP="00AF6E96">
            <w:pPr>
              <w:rPr>
                <w:rFonts w:cstheme="minorHAnsi"/>
              </w:rPr>
            </w:pPr>
            <w:r w:rsidRPr="007F49BF">
              <w:rPr>
                <w:rFonts w:cstheme="minorHAnsi"/>
              </w:rPr>
              <w:t>‘Unclear risk’</w:t>
            </w:r>
          </w:p>
          <w:p w14:paraId="3D1269D8" w14:textId="77777777" w:rsidR="007F49BF" w:rsidRPr="007F49BF" w:rsidRDefault="007F49BF" w:rsidP="00AF6E96">
            <w:pPr>
              <w:rPr>
                <w:rFonts w:cstheme="minorHAnsi"/>
              </w:rPr>
            </w:pPr>
            <w:r w:rsidRPr="007F49BF">
              <w:rPr>
                <w:rFonts w:cstheme="minorHAnsi"/>
              </w:rPr>
              <w:t>Insufficient information to permit judgement of ‘Low risk’ or ‘High risk’;</w:t>
            </w:r>
          </w:p>
          <w:p w14:paraId="06734AF4" w14:textId="77777777" w:rsidR="007F49BF" w:rsidRPr="007F49BF" w:rsidRDefault="007F49BF" w:rsidP="00AF6E96">
            <w:pPr>
              <w:rPr>
                <w:rFonts w:cstheme="minorHAnsi"/>
              </w:rPr>
            </w:pPr>
            <w:r w:rsidRPr="007F49BF">
              <w:rPr>
                <w:rFonts w:cstheme="minorHAnsi"/>
              </w:rPr>
              <w:t>The study did not address this outcome.</w:t>
            </w:r>
          </w:p>
        </w:tc>
      </w:tr>
      <w:tr w:rsidR="007F49BF" w:rsidRPr="007F49BF" w14:paraId="2C166F1F"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31D9CBB1" w14:textId="77777777" w:rsidR="007F49BF" w:rsidRPr="007F49BF" w:rsidRDefault="007F49BF" w:rsidP="00AF6E96">
            <w:pPr>
              <w:rPr>
                <w:rFonts w:cstheme="minorHAnsi"/>
                <w:sz w:val="20"/>
                <w:szCs w:val="20"/>
              </w:rPr>
            </w:pPr>
            <w:r w:rsidRPr="007F49BF">
              <w:rPr>
                <w:rFonts w:cstheme="minorHAnsi"/>
                <w:sz w:val="20"/>
                <w:szCs w:val="20"/>
              </w:rPr>
              <w:t>Williams et al., 2013</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0B680478" w14:textId="77777777" w:rsidR="007F49BF" w:rsidRPr="007F49BF" w:rsidRDefault="007F49BF" w:rsidP="00AF6E96">
            <w:pPr>
              <w:rPr>
                <w:rFonts w:cstheme="minorHAnsi"/>
              </w:rPr>
            </w:pPr>
            <w:r w:rsidRPr="007F49BF">
              <w:rPr>
                <w:rFonts w:cstheme="minorHAnsi"/>
              </w:rPr>
              <w:t>‘Unclear risk’</w:t>
            </w:r>
          </w:p>
          <w:p w14:paraId="308027CB" w14:textId="77777777" w:rsidR="007F49BF" w:rsidRPr="007F49BF" w:rsidRDefault="007F49BF" w:rsidP="00AF6E96">
            <w:pPr>
              <w:rPr>
                <w:rFonts w:cstheme="minorHAnsi"/>
              </w:rPr>
            </w:pPr>
            <w:r w:rsidRPr="007F49BF">
              <w:rPr>
                <w:rFonts w:cstheme="minorHAnsi"/>
              </w:rPr>
              <w:t>Insufficient information to permit judgement of ‘Low risk’ or ‘High risk’;</w:t>
            </w:r>
          </w:p>
          <w:p w14:paraId="3F835310" w14:textId="77777777" w:rsidR="007F49BF" w:rsidRPr="007F49BF" w:rsidRDefault="007F49BF" w:rsidP="00AF6E96">
            <w:pPr>
              <w:rPr>
                <w:rFonts w:cstheme="minorHAnsi"/>
              </w:rPr>
            </w:pPr>
            <w:r w:rsidRPr="007F49BF">
              <w:rPr>
                <w:rFonts w:cstheme="minorHAnsi"/>
              </w:rPr>
              <w:t>The study did not address this outcome.</w:t>
            </w:r>
          </w:p>
        </w:tc>
      </w:tr>
      <w:tr w:rsidR="007F49BF" w:rsidRPr="007F49BF" w14:paraId="03E22EA5" w14:textId="77777777" w:rsidTr="007F49BF">
        <w:trPr>
          <w:tblCellSpacing w:w="0" w:type="dxa"/>
        </w:trPr>
        <w:tc>
          <w:tcPr>
            <w:tcW w:w="9782"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73B1B7B9" w14:textId="77777777" w:rsidR="007F49BF" w:rsidRPr="007F49BF" w:rsidRDefault="007F49BF" w:rsidP="00AF6E96">
            <w:pPr>
              <w:rPr>
                <w:rFonts w:cstheme="minorHAnsi"/>
                <w:sz w:val="20"/>
                <w:szCs w:val="20"/>
              </w:rPr>
            </w:pPr>
            <w:r w:rsidRPr="007F49BF">
              <w:rPr>
                <w:rFonts w:cstheme="minorHAnsi"/>
                <w:b/>
                <w:bCs/>
                <w:sz w:val="20"/>
                <w:szCs w:val="20"/>
              </w:rPr>
              <w:t>BLINDING OF OUTCOME ASSESSMENT</w:t>
            </w:r>
          </w:p>
        </w:tc>
      </w:tr>
      <w:tr w:rsidR="007F49BF" w:rsidRPr="007F49BF" w14:paraId="23212528"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17241BED" w14:textId="77777777" w:rsidR="007F49BF" w:rsidRPr="007F49BF" w:rsidRDefault="007F49BF" w:rsidP="00AF6E96">
            <w:pPr>
              <w:rPr>
                <w:rFonts w:cstheme="minorHAnsi"/>
                <w:sz w:val="20"/>
                <w:szCs w:val="20"/>
              </w:rPr>
            </w:pPr>
            <w:r w:rsidRPr="007F49BF">
              <w:rPr>
                <w:rFonts w:cstheme="minorHAnsi"/>
                <w:sz w:val="20"/>
                <w:szCs w:val="20"/>
              </w:rPr>
              <w:t>Plint et al., 2006</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5F501E79" w14:textId="77777777" w:rsidR="007F49BF" w:rsidRPr="007F49BF" w:rsidRDefault="007F49BF" w:rsidP="00AF6E96">
            <w:pPr>
              <w:rPr>
                <w:rFonts w:cstheme="minorHAnsi"/>
              </w:rPr>
            </w:pPr>
            <w:r w:rsidRPr="007F49BF">
              <w:rPr>
                <w:rFonts w:cstheme="minorHAnsi"/>
              </w:rPr>
              <w:t>‘Unclear risk’</w:t>
            </w:r>
          </w:p>
          <w:p w14:paraId="1FADFDD2" w14:textId="77777777" w:rsidR="007F49BF" w:rsidRPr="007F49BF" w:rsidRDefault="007F49BF" w:rsidP="00AF6E96">
            <w:pPr>
              <w:rPr>
                <w:rFonts w:cstheme="minorHAnsi"/>
              </w:rPr>
            </w:pPr>
            <w:r w:rsidRPr="007F49BF">
              <w:rPr>
                <w:rFonts w:cstheme="minorHAnsi"/>
              </w:rPr>
              <w:t>Insufficient information to permit judgement of ‘Low risk’ or ‘High risk’;</w:t>
            </w:r>
          </w:p>
          <w:p w14:paraId="70EF3069" w14:textId="77777777" w:rsidR="007F49BF" w:rsidRPr="007F49BF" w:rsidRDefault="007F49BF" w:rsidP="00AF6E96">
            <w:pPr>
              <w:rPr>
                <w:rFonts w:cstheme="minorHAnsi"/>
              </w:rPr>
            </w:pPr>
            <w:r w:rsidRPr="007F49BF">
              <w:rPr>
                <w:rFonts w:cstheme="minorHAnsi"/>
              </w:rPr>
              <w:t>The study did not address this outcome.</w:t>
            </w:r>
          </w:p>
        </w:tc>
      </w:tr>
      <w:tr w:rsidR="007F49BF" w:rsidRPr="007F49BF" w14:paraId="5D691FC0"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499B307E" w14:textId="77777777" w:rsidR="007F49BF" w:rsidRPr="007F49BF" w:rsidRDefault="007F49BF" w:rsidP="00AF6E96">
            <w:pPr>
              <w:rPr>
                <w:rFonts w:cstheme="minorHAnsi"/>
                <w:sz w:val="20"/>
                <w:szCs w:val="20"/>
              </w:rPr>
            </w:pPr>
            <w:r w:rsidRPr="007F49BF">
              <w:rPr>
                <w:rFonts w:cstheme="minorHAnsi"/>
                <w:sz w:val="20"/>
                <w:szCs w:val="20"/>
              </w:rPr>
              <w:t>Williams et al., 2013</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61A03E1E" w14:textId="77777777" w:rsidR="007F49BF" w:rsidRPr="007F49BF" w:rsidRDefault="007F49BF" w:rsidP="00AF6E96">
            <w:pPr>
              <w:rPr>
                <w:rFonts w:cstheme="minorHAnsi"/>
              </w:rPr>
            </w:pPr>
            <w:r w:rsidRPr="007F49BF">
              <w:rPr>
                <w:rFonts w:cstheme="minorHAnsi"/>
              </w:rPr>
              <w:t>‘Unclear risk’</w:t>
            </w:r>
          </w:p>
          <w:p w14:paraId="5B7BF7C3" w14:textId="77777777" w:rsidR="007F49BF" w:rsidRPr="007F49BF" w:rsidRDefault="007F49BF" w:rsidP="00AF6E96">
            <w:pPr>
              <w:rPr>
                <w:rFonts w:cstheme="minorHAnsi"/>
              </w:rPr>
            </w:pPr>
            <w:r w:rsidRPr="007F49BF">
              <w:rPr>
                <w:rFonts w:cstheme="minorHAnsi"/>
              </w:rPr>
              <w:t>Insufficient information to permit judgement of ‘Low risk’ or ‘High risk’;</w:t>
            </w:r>
          </w:p>
          <w:p w14:paraId="3DDCDF23" w14:textId="77777777" w:rsidR="007F49BF" w:rsidRPr="007F49BF" w:rsidRDefault="007F49BF" w:rsidP="00AF6E96">
            <w:pPr>
              <w:rPr>
                <w:rFonts w:cstheme="minorHAnsi"/>
              </w:rPr>
            </w:pPr>
            <w:r w:rsidRPr="007F49BF">
              <w:rPr>
                <w:rFonts w:cstheme="minorHAnsi"/>
              </w:rPr>
              <w:t>The study did not address this outcome.</w:t>
            </w:r>
          </w:p>
        </w:tc>
      </w:tr>
      <w:tr w:rsidR="007F49BF" w:rsidRPr="007F49BF" w14:paraId="3B0C2F3E" w14:textId="77777777" w:rsidTr="007F49BF">
        <w:trPr>
          <w:tblCellSpacing w:w="0" w:type="dxa"/>
        </w:trPr>
        <w:tc>
          <w:tcPr>
            <w:tcW w:w="9782"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24F3E104" w14:textId="77777777" w:rsidR="007F49BF" w:rsidRPr="007F49BF" w:rsidRDefault="007F49BF" w:rsidP="00AF6E96">
            <w:pPr>
              <w:rPr>
                <w:rFonts w:cstheme="minorHAnsi"/>
                <w:b/>
                <w:bCs/>
                <w:sz w:val="20"/>
                <w:szCs w:val="20"/>
              </w:rPr>
            </w:pPr>
            <w:r w:rsidRPr="007F49BF">
              <w:rPr>
                <w:rFonts w:cstheme="minorHAnsi"/>
                <w:b/>
                <w:bCs/>
                <w:sz w:val="20"/>
                <w:szCs w:val="20"/>
              </w:rPr>
              <w:lastRenderedPageBreak/>
              <w:t xml:space="preserve">INCOMPLETE OUTCOME DATA </w:t>
            </w:r>
          </w:p>
        </w:tc>
      </w:tr>
      <w:tr w:rsidR="007F49BF" w:rsidRPr="007F49BF" w14:paraId="16CA21C4"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5D7D40BA" w14:textId="77777777" w:rsidR="007F49BF" w:rsidRPr="007F49BF" w:rsidRDefault="007F49BF" w:rsidP="00AF6E96">
            <w:pPr>
              <w:rPr>
                <w:rFonts w:cstheme="minorHAnsi"/>
                <w:sz w:val="20"/>
                <w:szCs w:val="20"/>
              </w:rPr>
            </w:pPr>
            <w:r w:rsidRPr="007F49BF">
              <w:rPr>
                <w:rFonts w:cstheme="minorHAnsi"/>
                <w:sz w:val="20"/>
                <w:szCs w:val="20"/>
              </w:rPr>
              <w:t>Plint et al., 2006</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29290C4B" w14:textId="77777777" w:rsidR="007F49BF" w:rsidRPr="007F49BF" w:rsidRDefault="007F49BF" w:rsidP="00AF6E96">
            <w:pPr>
              <w:rPr>
                <w:rFonts w:cstheme="minorHAnsi"/>
              </w:rPr>
            </w:pPr>
            <w:r w:rsidRPr="007F49BF">
              <w:rPr>
                <w:rFonts w:cstheme="minorHAnsi"/>
              </w:rPr>
              <w:t>‘Unclear risk’</w:t>
            </w:r>
          </w:p>
          <w:p w14:paraId="26C9623A" w14:textId="14C6B64E" w:rsidR="007F49BF" w:rsidRPr="007F49BF" w:rsidRDefault="007F49BF" w:rsidP="00AF6E96">
            <w:pPr>
              <w:rPr>
                <w:rFonts w:cstheme="minorHAnsi"/>
              </w:rPr>
            </w:pPr>
            <w:r w:rsidRPr="007F49BF">
              <w:rPr>
                <w:rFonts w:cstheme="minorHAnsi"/>
              </w:rPr>
              <w:t>‘Unclear risk’</w:t>
            </w:r>
            <w:r w:rsidR="00DE0E09">
              <w:rPr>
                <w:rFonts w:cstheme="minorHAnsi"/>
              </w:rPr>
              <w:t xml:space="preserve"> </w:t>
            </w:r>
            <w:r w:rsidRPr="007F49BF">
              <w:rPr>
                <w:rFonts w:cstheme="minorHAnsi"/>
              </w:rPr>
              <w:t>Insufficient reporting of attrition/exclusions to permit judgement of ‘Low risk’ or ‘High risk’ (e.g. number randomized not stated, no reasons for missing data provided).</w:t>
            </w:r>
          </w:p>
        </w:tc>
      </w:tr>
      <w:tr w:rsidR="007F49BF" w:rsidRPr="007F49BF" w14:paraId="6372DA92"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637E15BF" w14:textId="77777777" w:rsidR="007F49BF" w:rsidRPr="007F49BF" w:rsidRDefault="007F49BF" w:rsidP="00AF6E96">
            <w:pPr>
              <w:rPr>
                <w:rFonts w:cstheme="minorHAnsi"/>
                <w:sz w:val="20"/>
                <w:szCs w:val="20"/>
              </w:rPr>
            </w:pPr>
            <w:r w:rsidRPr="007F49BF">
              <w:rPr>
                <w:rFonts w:cstheme="minorHAnsi"/>
                <w:sz w:val="20"/>
                <w:szCs w:val="20"/>
              </w:rPr>
              <w:t>Williams et al., 2013</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77152D68" w14:textId="77777777" w:rsidR="007F49BF" w:rsidRPr="007F49BF" w:rsidRDefault="007F49BF" w:rsidP="00AF6E96">
            <w:pPr>
              <w:rPr>
                <w:rFonts w:cstheme="minorHAnsi"/>
              </w:rPr>
            </w:pPr>
            <w:r w:rsidRPr="007F49BF">
              <w:rPr>
                <w:rFonts w:cstheme="minorHAnsi"/>
              </w:rPr>
              <w:t>‘Low risk’</w:t>
            </w:r>
          </w:p>
          <w:p w14:paraId="027BD3A4" w14:textId="77777777" w:rsidR="007F49BF" w:rsidRPr="007F49BF" w:rsidRDefault="007F49BF" w:rsidP="00AF6E96">
            <w:pPr>
              <w:rPr>
                <w:rFonts w:cstheme="minorHAnsi"/>
              </w:rPr>
            </w:pPr>
            <w:r w:rsidRPr="007F49BF">
              <w:rPr>
                <w:rFonts w:cstheme="minorHAnsi"/>
              </w:rPr>
              <w:t>No missing outcome data.</w:t>
            </w:r>
          </w:p>
        </w:tc>
      </w:tr>
      <w:tr w:rsidR="007F49BF" w:rsidRPr="007F49BF" w14:paraId="27C0574C" w14:textId="77777777" w:rsidTr="007F49BF">
        <w:trPr>
          <w:tblCellSpacing w:w="0" w:type="dxa"/>
        </w:trPr>
        <w:tc>
          <w:tcPr>
            <w:tcW w:w="9782"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48380262" w14:textId="77777777" w:rsidR="007F49BF" w:rsidRPr="007F49BF" w:rsidRDefault="007F49BF" w:rsidP="00AF6E96">
            <w:pPr>
              <w:rPr>
                <w:rFonts w:cstheme="minorHAnsi"/>
                <w:sz w:val="20"/>
                <w:szCs w:val="20"/>
              </w:rPr>
            </w:pPr>
            <w:r w:rsidRPr="007F49BF">
              <w:rPr>
                <w:rFonts w:cstheme="minorHAnsi"/>
                <w:b/>
                <w:bCs/>
                <w:sz w:val="20"/>
                <w:szCs w:val="20"/>
              </w:rPr>
              <w:t xml:space="preserve">SELECTIVE REPORTING </w:t>
            </w:r>
          </w:p>
        </w:tc>
      </w:tr>
      <w:tr w:rsidR="007F49BF" w:rsidRPr="007F49BF" w14:paraId="0A8CC5BD"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18E1D574" w14:textId="77777777" w:rsidR="007F49BF" w:rsidRPr="007F49BF" w:rsidRDefault="007F49BF" w:rsidP="00AF6E96">
            <w:pPr>
              <w:rPr>
                <w:rFonts w:cstheme="minorHAnsi"/>
                <w:sz w:val="20"/>
                <w:szCs w:val="20"/>
              </w:rPr>
            </w:pPr>
            <w:r w:rsidRPr="007F49BF">
              <w:rPr>
                <w:rFonts w:cstheme="minorHAnsi"/>
                <w:sz w:val="20"/>
                <w:szCs w:val="20"/>
              </w:rPr>
              <w:t>Plint et al., 2006</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2AC68AA0" w14:textId="77777777" w:rsidR="007F49BF" w:rsidRPr="007F49BF" w:rsidRDefault="007F49BF" w:rsidP="00AF6E96">
            <w:pPr>
              <w:rPr>
                <w:rFonts w:cstheme="minorHAnsi"/>
              </w:rPr>
            </w:pPr>
            <w:r w:rsidRPr="007F49BF">
              <w:rPr>
                <w:rFonts w:cstheme="minorHAnsi"/>
              </w:rPr>
              <w:t>‘Unclear risk’</w:t>
            </w:r>
          </w:p>
          <w:p w14:paraId="1DC0DA8B" w14:textId="77777777" w:rsidR="007F49BF" w:rsidRPr="007F49BF" w:rsidRDefault="007F49BF" w:rsidP="00AF6E96">
            <w:pPr>
              <w:rPr>
                <w:rFonts w:cstheme="minorHAnsi"/>
              </w:rPr>
            </w:pPr>
            <w:r w:rsidRPr="007F49BF">
              <w:rPr>
                <w:rFonts w:cstheme="minorHAnsi"/>
              </w:rPr>
              <w:t>Insufficient information to permit judgement of ‘Low risk’ or ‘High risk’.</w:t>
            </w:r>
          </w:p>
        </w:tc>
      </w:tr>
      <w:tr w:rsidR="007F49BF" w:rsidRPr="007F49BF" w14:paraId="004F66EB"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558AA2D3" w14:textId="77777777" w:rsidR="007F49BF" w:rsidRPr="007F49BF" w:rsidRDefault="007F49BF" w:rsidP="00AF6E96">
            <w:pPr>
              <w:rPr>
                <w:rFonts w:cstheme="minorHAnsi"/>
                <w:sz w:val="20"/>
                <w:szCs w:val="20"/>
              </w:rPr>
            </w:pPr>
            <w:r w:rsidRPr="007F49BF">
              <w:rPr>
                <w:rFonts w:cstheme="minorHAnsi"/>
                <w:sz w:val="20"/>
                <w:szCs w:val="20"/>
              </w:rPr>
              <w:t>Williams et al., 2013</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42955736" w14:textId="77777777" w:rsidR="007F49BF" w:rsidRPr="007F49BF" w:rsidRDefault="007F49BF" w:rsidP="00AF6E96">
            <w:pPr>
              <w:rPr>
                <w:rFonts w:cstheme="minorHAnsi"/>
              </w:rPr>
            </w:pPr>
            <w:r w:rsidRPr="007F49BF">
              <w:rPr>
                <w:rFonts w:cstheme="minorHAnsi"/>
              </w:rPr>
              <w:t>‘Unclear risk’</w:t>
            </w:r>
          </w:p>
          <w:p w14:paraId="763F954B" w14:textId="77777777" w:rsidR="007F49BF" w:rsidRPr="007F49BF" w:rsidRDefault="007F49BF" w:rsidP="00AF6E96">
            <w:pPr>
              <w:rPr>
                <w:rFonts w:cstheme="minorHAnsi"/>
              </w:rPr>
            </w:pPr>
            <w:r w:rsidRPr="007F49BF">
              <w:rPr>
                <w:rFonts w:cstheme="minorHAnsi"/>
              </w:rPr>
              <w:t>Insufficient information to permit judgement of ‘Low risk’ or ‘High risk’.</w:t>
            </w:r>
          </w:p>
        </w:tc>
      </w:tr>
      <w:tr w:rsidR="007F49BF" w:rsidRPr="007F49BF" w14:paraId="10C259D1" w14:textId="77777777" w:rsidTr="007F49BF">
        <w:trPr>
          <w:tblCellSpacing w:w="0" w:type="dxa"/>
        </w:trPr>
        <w:tc>
          <w:tcPr>
            <w:tcW w:w="9782"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012C04D7" w14:textId="77777777" w:rsidR="007F49BF" w:rsidRPr="007F49BF" w:rsidRDefault="007F49BF" w:rsidP="00AF6E96">
            <w:pPr>
              <w:rPr>
                <w:rFonts w:cstheme="minorHAnsi"/>
                <w:sz w:val="20"/>
                <w:szCs w:val="20"/>
              </w:rPr>
            </w:pPr>
            <w:r w:rsidRPr="007F49BF">
              <w:rPr>
                <w:rFonts w:cstheme="minorHAnsi"/>
                <w:b/>
                <w:bCs/>
                <w:sz w:val="20"/>
                <w:szCs w:val="20"/>
              </w:rPr>
              <w:t xml:space="preserve">OTHER BIAS </w:t>
            </w:r>
          </w:p>
        </w:tc>
      </w:tr>
      <w:tr w:rsidR="007F49BF" w:rsidRPr="007F49BF" w14:paraId="5E746EE0"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0AFC6123" w14:textId="77777777" w:rsidR="007F49BF" w:rsidRPr="007F49BF" w:rsidRDefault="007F49BF" w:rsidP="00AF6E96">
            <w:pPr>
              <w:rPr>
                <w:rFonts w:cstheme="minorHAnsi"/>
                <w:sz w:val="20"/>
                <w:szCs w:val="20"/>
              </w:rPr>
            </w:pPr>
            <w:r w:rsidRPr="007F49BF">
              <w:rPr>
                <w:rFonts w:cstheme="minorHAnsi"/>
                <w:sz w:val="20"/>
                <w:szCs w:val="20"/>
              </w:rPr>
              <w:t>Plint et al., 2006</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0F2728FA" w14:textId="77777777" w:rsidR="007F49BF" w:rsidRPr="007F49BF" w:rsidRDefault="007F49BF" w:rsidP="00AF6E96">
            <w:pPr>
              <w:rPr>
                <w:rFonts w:cstheme="minorHAnsi"/>
              </w:rPr>
            </w:pPr>
            <w:r w:rsidRPr="007F49BF">
              <w:rPr>
                <w:rFonts w:cstheme="minorHAnsi"/>
              </w:rPr>
              <w:t>‘High risk’</w:t>
            </w:r>
          </w:p>
          <w:p w14:paraId="23F01F93" w14:textId="77777777" w:rsidR="007F49BF" w:rsidRPr="007F49BF" w:rsidRDefault="007F49BF" w:rsidP="00AF6E96">
            <w:pPr>
              <w:rPr>
                <w:rFonts w:cstheme="minorHAnsi"/>
              </w:rPr>
            </w:pPr>
            <w:r w:rsidRPr="007F49BF">
              <w:rPr>
                <w:rFonts w:cstheme="minorHAnsi"/>
              </w:rPr>
              <w:t>Had a potential source of bias related to the specific study design used; and</w:t>
            </w:r>
          </w:p>
          <w:p w14:paraId="132A726D" w14:textId="4DF80F09" w:rsidR="007F49BF" w:rsidRPr="007F49BF" w:rsidRDefault="007F49BF" w:rsidP="00AF6E96">
            <w:pPr>
              <w:rPr>
                <w:rFonts w:cstheme="minorHAnsi"/>
              </w:rPr>
            </w:pPr>
            <w:r w:rsidRPr="007F49BF">
              <w:rPr>
                <w:rFonts w:cstheme="minorHAnsi"/>
              </w:rPr>
              <w:t>Had some other problem.</w:t>
            </w:r>
          </w:p>
        </w:tc>
      </w:tr>
      <w:tr w:rsidR="007F49BF" w:rsidRPr="007F49BF" w14:paraId="0737CED6" w14:textId="77777777" w:rsidTr="007F49BF">
        <w:trPr>
          <w:tblCellSpacing w:w="0" w:type="dxa"/>
        </w:trPr>
        <w:tc>
          <w:tcPr>
            <w:tcW w:w="226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33CE78D1" w14:textId="77777777" w:rsidR="007F49BF" w:rsidRPr="007F49BF" w:rsidRDefault="007F49BF" w:rsidP="00AF6E96">
            <w:pPr>
              <w:rPr>
                <w:rFonts w:cstheme="minorHAnsi"/>
                <w:sz w:val="20"/>
                <w:szCs w:val="20"/>
              </w:rPr>
            </w:pPr>
            <w:r w:rsidRPr="007F49BF">
              <w:rPr>
                <w:rFonts w:cstheme="minorHAnsi"/>
                <w:sz w:val="20"/>
                <w:szCs w:val="20"/>
              </w:rPr>
              <w:t>Williams et al., 2013</w:t>
            </w:r>
          </w:p>
        </w:tc>
        <w:tc>
          <w:tcPr>
            <w:tcW w:w="7513" w:type="dxa"/>
            <w:tcBorders>
              <w:top w:val="nil"/>
              <w:left w:val="nil"/>
              <w:bottom w:val="single" w:sz="8" w:space="0" w:color="000000"/>
              <w:right w:val="single" w:sz="8" w:space="0" w:color="000000"/>
            </w:tcBorders>
            <w:tcMar>
              <w:top w:w="0" w:type="dxa"/>
              <w:left w:w="0" w:type="dxa"/>
              <w:bottom w:w="0" w:type="dxa"/>
              <w:right w:w="0" w:type="dxa"/>
            </w:tcMar>
            <w:hideMark/>
          </w:tcPr>
          <w:p w14:paraId="12FDC3EB" w14:textId="77777777" w:rsidR="007F49BF" w:rsidRPr="007F49BF" w:rsidRDefault="007F49BF" w:rsidP="00AF6E96">
            <w:pPr>
              <w:rPr>
                <w:rFonts w:cstheme="minorHAnsi"/>
              </w:rPr>
            </w:pPr>
            <w:r w:rsidRPr="007F49BF">
              <w:rPr>
                <w:rFonts w:cstheme="minorHAnsi"/>
              </w:rPr>
              <w:t>‘High risk’</w:t>
            </w:r>
          </w:p>
          <w:p w14:paraId="2C51C79E" w14:textId="77777777" w:rsidR="007F49BF" w:rsidRPr="007F49BF" w:rsidRDefault="007F49BF" w:rsidP="00AF6E96">
            <w:pPr>
              <w:rPr>
                <w:rFonts w:cstheme="minorHAnsi"/>
              </w:rPr>
            </w:pPr>
            <w:r w:rsidRPr="007F49BF">
              <w:rPr>
                <w:rFonts w:cstheme="minorHAnsi"/>
              </w:rPr>
              <w:t>Had a potential source of bias related to the specific study design used; and</w:t>
            </w:r>
          </w:p>
          <w:p w14:paraId="5863C98B" w14:textId="77777777" w:rsidR="007F49BF" w:rsidRPr="007F49BF" w:rsidRDefault="007F49BF" w:rsidP="00AF6E96">
            <w:pPr>
              <w:rPr>
                <w:rFonts w:cstheme="minorHAnsi"/>
              </w:rPr>
            </w:pPr>
            <w:r w:rsidRPr="007F49BF">
              <w:rPr>
                <w:rFonts w:cstheme="minorHAnsi"/>
              </w:rPr>
              <w:t>Had some other problem.</w:t>
            </w:r>
          </w:p>
        </w:tc>
      </w:tr>
    </w:tbl>
    <w:p w14:paraId="0289D6A3" w14:textId="77777777" w:rsidR="007F49BF" w:rsidRDefault="007F49BF" w:rsidP="00AF6E96">
      <w:pPr>
        <w:rPr>
          <w:rFonts w:eastAsia="Times New Roman" w:cstheme="minorHAnsi"/>
          <w:b/>
          <w:smallCaps/>
          <w:color w:val="1F497D"/>
          <w:sz w:val="24"/>
          <w:szCs w:val="24"/>
          <w:lang w:val="en-US"/>
        </w:rPr>
      </w:pPr>
    </w:p>
    <w:p w14:paraId="4F88C102" w14:textId="77777777" w:rsidR="000443EF" w:rsidRDefault="000443EF" w:rsidP="00AF6E96">
      <w:pPr>
        <w:rPr>
          <w:rFonts w:eastAsia="Times New Roman" w:cstheme="minorHAnsi"/>
          <w:b/>
          <w:smallCaps/>
          <w:color w:val="1F497D"/>
          <w:sz w:val="24"/>
          <w:szCs w:val="24"/>
          <w:lang w:val="en-US"/>
        </w:rPr>
      </w:pPr>
      <w:r>
        <w:rPr>
          <w:rFonts w:eastAsia="Times New Roman" w:cstheme="minorHAnsi"/>
          <w:b/>
          <w:smallCaps/>
          <w:color w:val="1F497D"/>
          <w:sz w:val="24"/>
          <w:szCs w:val="24"/>
          <w:lang w:val="en-US"/>
        </w:rPr>
        <w:br w:type="page"/>
      </w:r>
    </w:p>
    <w:p w14:paraId="6E1EA9B2" w14:textId="61F24AC3" w:rsidR="000443EF" w:rsidRPr="00E07C42" w:rsidRDefault="00B042E7" w:rsidP="00AF6E96">
      <w:pPr>
        <w:rPr>
          <w:lang w:val="en-US"/>
        </w:rPr>
      </w:pPr>
      <w:bookmarkStart w:id="45" w:name="_Toc396767042"/>
      <w:r>
        <w:rPr>
          <w:lang w:val="en-US"/>
        </w:rPr>
        <w:lastRenderedPageBreak/>
        <w:t xml:space="preserve">Table </w:t>
      </w:r>
      <w:r w:rsidR="00AF6E96">
        <w:rPr>
          <w:lang w:val="en-US"/>
        </w:rPr>
        <w:t>4</w:t>
      </w:r>
      <w:r w:rsidR="000443EF">
        <w:rPr>
          <w:lang w:val="en-US"/>
        </w:rPr>
        <w:t xml:space="preserve"> – The estimated cost of treatments </w:t>
      </w:r>
      <w:r w:rsidR="0084780F">
        <w:rPr>
          <w:lang w:val="en-US"/>
        </w:rPr>
        <w:t>as presented by Davidson et al. (2001)</w:t>
      </w:r>
      <w:bookmarkEnd w:id="45"/>
    </w:p>
    <w:p w14:paraId="2960F864" w14:textId="77777777" w:rsidR="000443EF" w:rsidRDefault="000443EF" w:rsidP="00AF6E96">
      <w:pPr>
        <w:rPr>
          <w:rFonts w:cstheme="minorHAnsi"/>
        </w:rPr>
      </w:pPr>
    </w:p>
    <w:p w14:paraId="6B7EEF46" w14:textId="77777777" w:rsidR="0084780F" w:rsidRPr="00377DF8" w:rsidRDefault="0084780F" w:rsidP="00AF6E96">
      <w:pPr>
        <w:rPr>
          <w:rFonts w:cstheme="minorHAnsi"/>
        </w:rPr>
      </w:pPr>
    </w:p>
    <w:tbl>
      <w:tblPr>
        <w:tblStyle w:val="ListTable1Light1"/>
        <w:tblW w:w="0" w:type="auto"/>
        <w:tblInd w:w="1468" w:type="dxa"/>
        <w:tblLook w:val="04A0" w:firstRow="1" w:lastRow="0" w:firstColumn="1" w:lastColumn="0" w:noHBand="0" w:noVBand="1"/>
      </w:tblPr>
      <w:tblGrid>
        <w:gridCol w:w="4536"/>
        <w:gridCol w:w="1559"/>
      </w:tblGrid>
      <w:tr w:rsidR="0084780F" w:rsidRPr="0084780F" w14:paraId="11610ACE" w14:textId="77777777" w:rsidTr="0084780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6" w:type="dxa"/>
            <w:shd w:val="clear" w:color="auto" w:fill="D9D9D9" w:themeFill="background1" w:themeFillShade="D9"/>
          </w:tcPr>
          <w:p w14:paraId="65CC78D6" w14:textId="40A415CC" w:rsidR="0084780F" w:rsidRPr="0084780F" w:rsidRDefault="0084780F" w:rsidP="00AF6E96">
            <w:pPr>
              <w:rPr>
                <w:rFonts w:cstheme="minorHAnsi"/>
              </w:rPr>
            </w:pPr>
            <w:r w:rsidRPr="0084780F">
              <w:rPr>
                <w:rFonts w:cstheme="minorHAnsi"/>
              </w:rPr>
              <w:t>Treatment</w:t>
            </w:r>
          </w:p>
        </w:tc>
        <w:tc>
          <w:tcPr>
            <w:tcW w:w="1559" w:type="dxa"/>
            <w:shd w:val="clear" w:color="auto" w:fill="D9D9D9" w:themeFill="background1" w:themeFillShade="D9"/>
          </w:tcPr>
          <w:p w14:paraId="7044904F" w14:textId="71E5047B" w:rsidR="0084780F" w:rsidRPr="0084780F" w:rsidRDefault="0084780F" w:rsidP="00AF6E96">
            <w:pPr>
              <w:cnfStyle w:val="100000000000" w:firstRow="1" w:lastRow="0" w:firstColumn="0" w:lastColumn="0" w:oddVBand="0" w:evenVBand="0" w:oddHBand="0" w:evenHBand="0" w:firstRowFirstColumn="0" w:firstRowLastColumn="0" w:lastRowFirstColumn="0" w:lastRowLastColumn="0"/>
              <w:rPr>
                <w:rFonts w:cstheme="minorHAnsi"/>
              </w:rPr>
            </w:pPr>
            <w:r w:rsidRPr="0084780F">
              <w:rPr>
                <w:rFonts w:cstheme="minorHAnsi"/>
              </w:rPr>
              <w:t>Cost (£)</w:t>
            </w:r>
          </w:p>
        </w:tc>
      </w:tr>
      <w:tr w:rsidR="0084780F" w:rsidRPr="0084780F" w14:paraId="2312FA14" w14:textId="77777777" w:rsidTr="008478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666666" w:themeColor="text1" w:themeTint="99"/>
              <w:bottom w:val="single" w:sz="4" w:space="0" w:color="auto"/>
            </w:tcBorders>
            <w:shd w:val="clear" w:color="auto" w:fill="FFFFFF" w:themeFill="background1"/>
          </w:tcPr>
          <w:p w14:paraId="52E84E16" w14:textId="3E8F8975" w:rsidR="0084780F" w:rsidRPr="0084780F" w:rsidRDefault="0084780F" w:rsidP="00AF6E96">
            <w:pPr>
              <w:rPr>
                <w:rFonts w:cstheme="minorHAnsi"/>
              </w:rPr>
            </w:pPr>
            <w:r w:rsidRPr="0084780F">
              <w:rPr>
                <w:rFonts w:cstheme="minorHAnsi"/>
              </w:rPr>
              <w:t>Radiographs</w:t>
            </w:r>
          </w:p>
        </w:tc>
        <w:tc>
          <w:tcPr>
            <w:tcW w:w="1559" w:type="dxa"/>
            <w:tcBorders>
              <w:top w:val="single" w:sz="4" w:space="0" w:color="666666" w:themeColor="text1" w:themeTint="99"/>
              <w:bottom w:val="single" w:sz="4" w:space="0" w:color="auto"/>
            </w:tcBorders>
            <w:shd w:val="clear" w:color="auto" w:fill="FFFFFF" w:themeFill="background1"/>
          </w:tcPr>
          <w:p w14:paraId="3508863F" w14:textId="23991237" w:rsidR="0084780F" w:rsidRPr="0084780F" w:rsidRDefault="0084780F" w:rsidP="00AF6E96">
            <w:pPr>
              <w:cnfStyle w:val="000000100000" w:firstRow="0" w:lastRow="0" w:firstColumn="0" w:lastColumn="0" w:oddVBand="0" w:evenVBand="0" w:oddHBand="1" w:evenHBand="0" w:firstRowFirstColumn="0" w:firstRowLastColumn="0" w:lastRowFirstColumn="0" w:lastRowLastColumn="0"/>
              <w:rPr>
                <w:rFonts w:cstheme="minorHAnsi"/>
              </w:rPr>
            </w:pPr>
            <w:r w:rsidRPr="0084780F">
              <w:rPr>
                <w:rFonts w:cstheme="minorHAnsi"/>
              </w:rPr>
              <w:t>16.00</w:t>
            </w:r>
          </w:p>
        </w:tc>
      </w:tr>
      <w:tr w:rsidR="0084780F" w:rsidRPr="0084780F" w14:paraId="4C890AE2" w14:textId="77777777" w:rsidTr="0084780F">
        <w:trPr>
          <w:trHeight w:val="454"/>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FFFFF" w:themeFill="background1"/>
          </w:tcPr>
          <w:p w14:paraId="2A1086EA" w14:textId="590497A2" w:rsidR="0084780F" w:rsidRPr="0084780F" w:rsidRDefault="0084780F" w:rsidP="00AF6E96">
            <w:pPr>
              <w:rPr>
                <w:rFonts w:cstheme="minorHAnsi"/>
              </w:rPr>
            </w:pPr>
            <w:r w:rsidRPr="0084780F">
              <w:rPr>
                <w:rFonts w:cstheme="minorHAnsi"/>
              </w:rPr>
              <w:t>Clinic attendance</w:t>
            </w:r>
          </w:p>
        </w:tc>
        <w:tc>
          <w:tcPr>
            <w:tcW w:w="1559" w:type="dxa"/>
            <w:tcBorders>
              <w:top w:val="single" w:sz="4" w:space="0" w:color="auto"/>
              <w:bottom w:val="single" w:sz="4" w:space="0" w:color="auto"/>
            </w:tcBorders>
            <w:shd w:val="clear" w:color="auto" w:fill="FFFFFF" w:themeFill="background1"/>
          </w:tcPr>
          <w:p w14:paraId="57149AF2" w14:textId="203A0D9A" w:rsidR="0084780F" w:rsidRPr="0084780F" w:rsidRDefault="0084780F" w:rsidP="00AF6E96">
            <w:pPr>
              <w:cnfStyle w:val="000000000000" w:firstRow="0" w:lastRow="0" w:firstColumn="0" w:lastColumn="0" w:oddVBand="0" w:evenVBand="0" w:oddHBand="0" w:evenHBand="0" w:firstRowFirstColumn="0" w:firstRowLastColumn="0" w:lastRowFirstColumn="0" w:lastRowLastColumn="0"/>
              <w:rPr>
                <w:rFonts w:cstheme="minorHAnsi"/>
              </w:rPr>
            </w:pPr>
            <w:r w:rsidRPr="0084780F">
              <w:rPr>
                <w:rFonts w:cstheme="minorHAnsi"/>
              </w:rPr>
              <w:t>47.00</w:t>
            </w:r>
          </w:p>
        </w:tc>
      </w:tr>
      <w:tr w:rsidR="0084780F" w:rsidRPr="0084780F" w14:paraId="1ADBF531" w14:textId="77777777" w:rsidTr="008478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FFFFF" w:themeFill="background1"/>
          </w:tcPr>
          <w:p w14:paraId="40735931" w14:textId="2550D173" w:rsidR="0084780F" w:rsidRPr="0084780F" w:rsidRDefault="0084780F" w:rsidP="00AF6E96">
            <w:pPr>
              <w:rPr>
                <w:rFonts w:cstheme="minorHAnsi"/>
              </w:rPr>
            </w:pPr>
            <w:r w:rsidRPr="0084780F">
              <w:rPr>
                <w:rFonts w:cstheme="minorHAnsi"/>
              </w:rPr>
              <w:t>Plaster of Paris backslab</w:t>
            </w:r>
          </w:p>
        </w:tc>
        <w:tc>
          <w:tcPr>
            <w:tcW w:w="1559" w:type="dxa"/>
            <w:tcBorders>
              <w:top w:val="single" w:sz="4" w:space="0" w:color="auto"/>
              <w:bottom w:val="single" w:sz="4" w:space="0" w:color="auto"/>
            </w:tcBorders>
            <w:shd w:val="clear" w:color="auto" w:fill="FFFFFF" w:themeFill="background1"/>
          </w:tcPr>
          <w:p w14:paraId="24318585" w14:textId="38368D52" w:rsidR="0084780F" w:rsidRPr="0084780F" w:rsidRDefault="0084780F" w:rsidP="00AF6E96">
            <w:pPr>
              <w:cnfStyle w:val="000000100000" w:firstRow="0" w:lastRow="0" w:firstColumn="0" w:lastColumn="0" w:oddVBand="0" w:evenVBand="0" w:oddHBand="1" w:evenHBand="0" w:firstRowFirstColumn="0" w:firstRowLastColumn="0" w:lastRowFirstColumn="0" w:lastRowLastColumn="0"/>
              <w:rPr>
                <w:rFonts w:cstheme="minorHAnsi"/>
              </w:rPr>
            </w:pPr>
            <w:r w:rsidRPr="0084780F">
              <w:rPr>
                <w:rFonts w:cstheme="minorHAnsi"/>
              </w:rPr>
              <w:t>2.03</w:t>
            </w:r>
          </w:p>
        </w:tc>
      </w:tr>
      <w:tr w:rsidR="0084780F" w:rsidRPr="0084780F" w14:paraId="3D02980E" w14:textId="77777777" w:rsidTr="0084780F">
        <w:trPr>
          <w:trHeight w:val="454"/>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FFFFF" w:themeFill="background1"/>
          </w:tcPr>
          <w:p w14:paraId="035A2349" w14:textId="2724FA05" w:rsidR="0084780F" w:rsidRPr="0084780F" w:rsidRDefault="0084780F" w:rsidP="00AF6E96">
            <w:pPr>
              <w:rPr>
                <w:rFonts w:cstheme="minorHAnsi"/>
              </w:rPr>
            </w:pPr>
            <w:r w:rsidRPr="0084780F">
              <w:rPr>
                <w:rFonts w:cstheme="minorHAnsi"/>
              </w:rPr>
              <w:t>Plaster of Paris cast</w:t>
            </w:r>
          </w:p>
        </w:tc>
        <w:tc>
          <w:tcPr>
            <w:tcW w:w="1559" w:type="dxa"/>
            <w:tcBorders>
              <w:top w:val="single" w:sz="4" w:space="0" w:color="auto"/>
              <w:bottom w:val="single" w:sz="4" w:space="0" w:color="auto"/>
            </w:tcBorders>
            <w:shd w:val="clear" w:color="auto" w:fill="FFFFFF" w:themeFill="background1"/>
          </w:tcPr>
          <w:p w14:paraId="340849C3" w14:textId="50984C1C" w:rsidR="0084780F" w:rsidRPr="0084780F" w:rsidRDefault="0084780F" w:rsidP="00AF6E96">
            <w:pPr>
              <w:cnfStyle w:val="000000000000" w:firstRow="0" w:lastRow="0" w:firstColumn="0" w:lastColumn="0" w:oddVBand="0" w:evenVBand="0" w:oddHBand="0" w:evenHBand="0" w:firstRowFirstColumn="0" w:firstRowLastColumn="0" w:lastRowFirstColumn="0" w:lastRowLastColumn="0"/>
              <w:rPr>
                <w:rFonts w:cstheme="minorHAnsi"/>
              </w:rPr>
            </w:pPr>
            <w:r w:rsidRPr="0084780F">
              <w:rPr>
                <w:rFonts w:cstheme="minorHAnsi"/>
              </w:rPr>
              <w:t>5.42</w:t>
            </w:r>
          </w:p>
        </w:tc>
      </w:tr>
      <w:tr w:rsidR="0084780F" w:rsidRPr="0084780F" w14:paraId="4AA1B303" w14:textId="77777777" w:rsidTr="008478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FFFFF" w:themeFill="background1"/>
          </w:tcPr>
          <w:p w14:paraId="27901F3D" w14:textId="4833F309" w:rsidR="0084780F" w:rsidRPr="0084780F" w:rsidRDefault="0084780F" w:rsidP="00AF6E96">
            <w:pPr>
              <w:rPr>
                <w:rFonts w:cstheme="minorHAnsi"/>
              </w:rPr>
            </w:pPr>
            <w:r w:rsidRPr="0084780F">
              <w:rPr>
                <w:rFonts w:cstheme="minorHAnsi"/>
              </w:rPr>
              <w:t>Temporary splint</w:t>
            </w:r>
          </w:p>
        </w:tc>
        <w:tc>
          <w:tcPr>
            <w:tcW w:w="1559" w:type="dxa"/>
            <w:tcBorders>
              <w:top w:val="single" w:sz="4" w:space="0" w:color="auto"/>
              <w:bottom w:val="single" w:sz="4" w:space="0" w:color="auto"/>
            </w:tcBorders>
            <w:shd w:val="clear" w:color="auto" w:fill="FFFFFF" w:themeFill="background1"/>
          </w:tcPr>
          <w:p w14:paraId="5F0B2BF1" w14:textId="0BFF6EDF" w:rsidR="0084780F" w:rsidRPr="0084780F" w:rsidRDefault="0084780F" w:rsidP="00AF6E96">
            <w:pPr>
              <w:cnfStyle w:val="000000100000" w:firstRow="0" w:lastRow="0" w:firstColumn="0" w:lastColumn="0" w:oddVBand="0" w:evenVBand="0" w:oddHBand="1" w:evenHBand="0" w:firstRowFirstColumn="0" w:firstRowLastColumn="0" w:lastRowFirstColumn="0" w:lastRowLastColumn="0"/>
              <w:rPr>
                <w:rFonts w:cstheme="minorHAnsi"/>
              </w:rPr>
            </w:pPr>
            <w:r w:rsidRPr="0084780F">
              <w:rPr>
                <w:rFonts w:cstheme="minorHAnsi"/>
              </w:rPr>
              <w:t>1.56</w:t>
            </w:r>
          </w:p>
        </w:tc>
      </w:tr>
      <w:tr w:rsidR="0084780F" w:rsidRPr="0084780F" w14:paraId="191EF903" w14:textId="77777777" w:rsidTr="0084780F">
        <w:trPr>
          <w:trHeight w:val="454"/>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tcPr>
          <w:p w14:paraId="385D5A99" w14:textId="3A60D8B0" w:rsidR="0084780F" w:rsidRPr="0084780F" w:rsidRDefault="0084780F" w:rsidP="00AF6E96">
            <w:pPr>
              <w:rPr>
                <w:rFonts w:eastAsia="Times New Roman" w:cstheme="minorHAnsi"/>
                <w:smallCaps/>
                <w:color w:val="1F497D"/>
                <w:sz w:val="24"/>
                <w:szCs w:val="24"/>
                <w:lang w:val="en-US"/>
              </w:rPr>
            </w:pPr>
            <w:r w:rsidRPr="0084780F">
              <w:rPr>
                <w:rFonts w:cstheme="minorHAnsi"/>
              </w:rPr>
              <w:t>Futura splint</w:t>
            </w:r>
          </w:p>
        </w:tc>
        <w:tc>
          <w:tcPr>
            <w:tcW w:w="1559" w:type="dxa"/>
            <w:tcBorders>
              <w:top w:val="single" w:sz="4" w:space="0" w:color="auto"/>
              <w:bottom w:val="single" w:sz="4" w:space="0" w:color="auto"/>
            </w:tcBorders>
          </w:tcPr>
          <w:p w14:paraId="7069779F" w14:textId="3065B094" w:rsidR="0084780F" w:rsidRPr="0084780F" w:rsidRDefault="0084780F" w:rsidP="00AF6E96">
            <w:pPr>
              <w:cnfStyle w:val="000000000000" w:firstRow="0" w:lastRow="0" w:firstColumn="0" w:lastColumn="0" w:oddVBand="0" w:evenVBand="0" w:oddHBand="0" w:evenHBand="0" w:firstRowFirstColumn="0" w:firstRowLastColumn="0" w:lastRowFirstColumn="0" w:lastRowLastColumn="0"/>
              <w:rPr>
                <w:rFonts w:eastAsia="Times New Roman" w:cstheme="minorHAnsi"/>
                <w:smallCaps/>
                <w:color w:val="1F497D"/>
                <w:sz w:val="24"/>
                <w:szCs w:val="24"/>
                <w:lang w:val="en-US"/>
              </w:rPr>
            </w:pPr>
            <w:r w:rsidRPr="0084780F">
              <w:rPr>
                <w:rFonts w:cstheme="minorHAnsi"/>
              </w:rPr>
              <w:t>2.75</w:t>
            </w:r>
          </w:p>
        </w:tc>
      </w:tr>
    </w:tbl>
    <w:p w14:paraId="44FEB4F2" w14:textId="3B89B0EA" w:rsidR="00C72F0D" w:rsidRPr="00AF6E96" w:rsidRDefault="00C72F0D" w:rsidP="00AF6E96">
      <w:pPr>
        <w:rPr>
          <w:rFonts w:eastAsia="Times New Roman" w:cstheme="minorHAnsi"/>
          <w:b/>
          <w:smallCaps/>
          <w:color w:val="1F497D"/>
          <w:sz w:val="24"/>
          <w:szCs w:val="24"/>
          <w:lang w:val="en-US"/>
        </w:rPr>
      </w:pPr>
    </w:p>
    <w:sectPr w:rsidR="00C72F0D" w:rsidRPr="00AF6E96" w:rsidSect="00920B8B">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4D58" w14:textId="77777777" w:rsidR="006351ED" w:rsidRDefault="006351ED" w:rsidP="00790FF2">
      <w:pPr>
        <w:spacing w:after="0" w:line="240" w:lineRule="auto"/>
      </w:pPr>
      <w:r>
        <w:separator/>
      </w:r>
    </w:p>
  </w:endnote>
  <w:endnote w:type="continuationSeparator" w:id="0">
    <w:p w14:paraId="4C312913" w14:textId="77777777" w:rsidR="006351ED" w:rsidRDefault="006351ED" w:rsidP="0079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Headline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284335"/>
      <w:docPartObj>
        <w:docPartGallery w:val="Page Numbers (Bottom of Page)"/>
        <w:docPartUnique/>
      </w:docPartObj>
    </w:sdtPr>
    <w:sdtEndPr>
      <w:rPr>
        <w:noProof/>
      </w:rPr>
    </w:sdtEndPr>
    <w:sdtContent>
      <w:p w14:paraId="5A470718" w14:textId="29A693D0" w:rsidR="005D472B" w:rsidRDefault="005D472B">
        <w:pPr>
          <w:pStyle w:val="Footer"/>
          <w:jc w:val="center"/>
        </w:pPr>
        <w:r>
          <w:fldChar w:fldCharType="begin"/>
        </w:r>
        <w:r>
          <w:instrText xml:space="preserve"> PAGE   \* MERGEFORMAT </w:instrText>
        </w:r>
        <w:r>
          <w:fldChar w:fldCharType="separate"/>
        </w:r>
        <w:r w:rsidR="00C03775">
          <w:rPr>
            <w:noProof/>
          </w:rPr>
          <w:t>1</w:t>
        </w:r>
        <w:r>
          <w:rPr>
            <w:noProof/>
          </w:rPr>
          <w:fldChar w:fldCharType="end"/>
        </w:r>
      </w:p>
    </w:sdtContent>
  </w:sdt>
  <w:p w14:paraId="681DFF94" w14:textId="77777777" w:rsidR="005D472B" w:rsidRDefault="005D4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59913"/>
      <w:docPartObj>
        <w:docPartGallery w:val="Page Numbers (Bottom of Page)"/>
        <w:docPartUnique/>
      </w:docPartObj>
    </w:sdtPr>
    <w:sdtEndPr>
      <w:rPr>
        <w:noProof/>
      </w:rPr>
    </w:sdtEndPr>
    <w:sdtContent>
      <w:p w14:paraId="14F229BF" w14:textId="76DF767F" w:rsidR="005D472B" w:rsidRDefault="005D472B">
        <w:pPr>
          <w:pStyle w:val="Footer"/>
          <w:jc w:val="center"/>
        </w:pPr>
        <w:r>
          <w:fldChar w:fldCharType="begin"/>
        </w:r>
        <w:r>
          <w:instrText xml:space="preserve"> PAGE  \* Arabic  \* MERGEFORMAT </w:instrText>
        </w:r>
        <w:r>
          <w:fldChar w:fldCharType="separate"/>
        </w:r>
        <w:r w:rsidR="00B97525">
          <w:rPr>
            <w:noProof/>
          </w:rPr>
          <w:t>20</w:t>
        </w:r>
        <w:r>
          <w:fldChar w:fldCharType="end"/>
        </w:r>
      </w:p>
    </w:sdtContent>
  </w:sdt>
  <w:p w14:paraId="2938310C" w14:textId="77777777" w:rsidR="005D472B" w:rsidRDefault="005D4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41940"/>
      <w:docPartObj>
        <w:docPartGallery w:val="Page Numbers (Bottom of Page)"/>
        <w:docPartUnique/>
      </w:docPartObj>
    </w:sdtPr>
    <w:sdtEndPr>
      <w:rPr>
        <w:noProof/>
      </w:rPr>
    </w:sdtEndPr>
    <w:sdtContent>
      <w:p w14:paraId="397FAD6F" w14:textId="428A0B76" w:rsidR="005D472B" w:rsidRDefault="005D472B">
        <w:pPr>
          <w:pStyle w:val="Footer"/>
          <w:jc w:val="center"/>
        </w:pPr>
        <w:r>
          <w:fldChar w:fldCharType="begin"/>
        </w:r>
        <w:r>
          <w:instrText xml:space="preserve"> PAGE   \* MERGEFORMAT </w:instrText>
        </w:r>
        <w:r>
          <w:fldChar w:fldCharType="separate"/>
        </w:r>
        <w:r w:rsidR="00C5069F">
          <w:rPr>
            <w:noProof/>
          </w:rPr>
          <w:t>24</w:t>
        </w:r>
        <w:r>
          <w:rPr>
            <w:noProof/>
          </w:rPr>
          <w:fldChar w:fldCharType="end"/>
        </w:r>
      </w:p>
    </w:sdtContent>
  </w:sdt>
  <w:p w14:paraId="5A04AABF" w14:textId="77777777" w:rsidR="005D472B" w:rsidRDefault="005D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63A45" w14:textId="77777777" w:rsidR="006351ED" w:rsidRDefault="006351ED" w:rsidP="00790FF2">
      <w:pPr>
        <w:spacing w:after="0" w:line="240" w:lineRule="auto"/>
      </w:pPr>
      <w:r>
        <w:separator/>
      </w:r>
    </w:p>
  </w:footnote>
  <w:footnote w:type="continuationSeparator" w:id="0">
    <w:p w14:paraId="5D996251" w14:textId="77777777" w:rsidR="006351ED" w:rsidRDefault="006351ED" w:rsidP="0079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2744"/>
    <w:multiLevelType w:val="hybridMultilevel"/>
    <w:tmpl w:val="B6B49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54C0B"/>
    <w:multiLevelType w:val="multilevel"/>
    <w:tmpl w:val="F9A25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7742F"/>
    <w:multiLevelType w:val="multilevel"/>
    <w:tmpl w:val="EE40D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87213"/>
    <w:multiLevelType w:val="multilevel"/>
    <w:tmpl w:val="3B34A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0707F"/>
    <w:multiLevelType w:val="multilevel"/>
    <w:tmpl w:val="20A4B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8410D"/>
    <w:multiLevelType w:val="multilevel"/>
    <w:tmpl w:val="ABA44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416A4"/>
    <w:multiLevelType w:val="multilevel"/>
    <w:tmpl w:val="82FEB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C3293"/>
    <w:multiLevelType w:val="multilevel"/>
    <w:tmpl w:val="EA52C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F72F8"/>
    <w:multiLevelType w:val="hybridMultilevel"/>
    <w:tmpl w:val="0AB2C7EA"/>
    <w:lvl w:ilvl="0" w:tplc="C41272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A5DD7"/>
    <w:multiLevelType w:val="hybridMultilevel"/>
    <w:tmpl w:val="B79C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6405C"/>
    <w:multiLevelType w:val="multilevel"/>
    <w:tmpl w:val="A55E9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13381"/>
    <w:multiLevelType w:val="multilevel"/>
    <w:tmpl w:val="17464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71722"/>
    <w:multiLevelType w:val="multilevel"/>
    <w:tmpl w:val="2AB01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21129"/>
    <w:multiLevelType w:val="hybridMultilevel"/>
    <w:tmpl w:val="EFB2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461C3"/>
    <w:multiLevelType w:val="hybridMultilevel"/>
    <w:tmpl w:val="DD662B06"/>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D6C4F"/>
    <w:multiLevelType w:val="hybridMultilevel"/>
    <w:tmpl w:val="AE602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4610D"/>
    <w:multiLevelType w:val="multilevel"/>
    <w:tmpl w:val="EBA6D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74664"/>
    <w:multiLevelType w:val="hybridMultilevel"/>
    <w:tmpl w:val="FD704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B50331"/>
    <w:multiLevelType w:val="hybridMultilevel"/>
    <w:tmpl w:val="B22E2ABE"/>
    <w:lvl w:ilvl="0" w:tplc="25C692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44CEF"/>
    <w:multiLevelType w:val="hybridMultilevel"/>
    <w:tmpl w:val="E1306F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411E6"/>
    <w:multiLevelType w:val="hybridMultilevel"/>
    <w:tmpl w:val="072C9B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D87CE7"/>
    <w:multiLevelType w:val="multilevel"/>
    <w:tmpl w:val="D902A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34CF4"/>
    <w:multiLevelType w:val="hybridMultilevel"/>
    <w:tmpl w:val="D292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D3E71"/>
    <w:multiLevelType w:val="multilevel"/>
    <w:tmpl w:val="6DB8C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734B2"/>
    <w:multiLevelType w:val="hybridMultilevel"/>
    <w:tmpl w:val="2F66CC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E66EC0"/>
    <w:multiLevelType w:val="hybridMultilevel"/>
    <w:tmpl w:val="4702A5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8D69A2"/>
    <w:multiLevelType w:val="multilevel"/>
    <w:tmpl w:val="545CD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E3FD5"/>
    <w:multiLevelType w:val="multilevel"/>
    <w:tmpl w:val="3266E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C6B3C"/>
    <w:multiLevelType w:val="hybridMultilevel"/>
    <w:tmpl w:val="418C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D62E4"/>
    <w:multiLevelType w:val="multilevel"/>
    <w:tmpl w:val="2D8C9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57501"/>
    <w:multiLevelType w:val="hybridMultilevel"/>
    <w:tmpl w:val="2F66CC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7F48D2"/>
    <w:multiLevelType w:val="hybridMultilevel"/>
    <w:tmpl w:val="220697E0"/>
    <w:lvl w:ilvl="0" w:tplc="54E8A9FE">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30E33"/>
    <w:multiLevelType w:val="multilevel"/>
    <w:tmpl w:val="C3425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049DF"/>
    <w:multiLevelType w:val="hybridMultilevel"/>
    <w:tmpl w:val="C9AC55CE"/>
    <w:lvl w:ilvl="0" w:tplc="4D5051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2AA"/>
    <w:multiLevelType w:val="multilevel"/>
    <w:tmpl w:val="D0E45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8"/>
  </w:num>
  <w:num w:numId="3">
    <w:abstractNumId w:val="15"/>
  </w:num>
  <w:num w:numId="4">
    <w:abstractNumId w:val="9"/>
  </w:num>
  <w:num w:numId="5">
    <w:abstractNumId w:val="20"/>
  </w:num>
  <w:num w:numId="6">
    <w:abstractNumId w:val="14"/>
  </w:num>
  <w:num w:numId="7">
    <w:abstractNumId w:val="24"/>
  </w:num>
  <w:num w:numId="8">
    <w:abstractNumId w:val="25"/>
  </w:num>
  <w:num w:numId="9">
    <w:abstractNumId w:val="17"/>
  </w:num>
  <w:num w:numId="10">
    <w:abstractNumId w:val="22"/>
  </w:num>
  <w:num w:numId="11">
    <w:abstractNumId w:val="13"/>
  </w:num>
  <w:num w:numId="12">
    <w:abstractNumId w:val="28"/>
  </w:num>
  <w:num w:numId="13">
    <w:abstractNumId w:val="19"/>
  </w:num>
  <w:num w:numId="14">
    <w:abstractNumId w:val="12"/>
  </w:num>
  <w:num w:numId="15">
    <w:abstractNumId w:val="5"/>
  </w:num>
  <w:num w:numId="16">
    <w:abstractNumId w:val="16"/>
  </w:num>
  <w:num w:numId="17">
    <w:abstractNumId w:val="6"/>
  </w:num>
  <w:num w:numId="18">
    <w:abstractNumId w:val="23"/>
  </w:num>
  <w:num w:numId="19">
    <w:abstractNumId w:val="26"/>
  </w:num>
  <w:num w:numId="20">
    <w:abstractNumId w:val="3"/>
  </w:num>
  <w:num w:numId="21">
    <w:abstractNumId w:val="34"/>
  </w:num>
  <w:num w:numId="22">
    <w:abstractNumId w:val="32"/>
  </w:num>
  <w:num w:numId="23">
    <w:abstractNumId w:val="29"/>
  </w:num>
  <w:num w:numId="24">
    <w:abstractNumId w:val="11"/>
  </w:num>
  <w:num w:numId="25">
    <w:abstractNumId w:val="21"/>
  </w:num>
  <w:num w:numId="26">
    <w:abstractNumId w:val="27"/>
  </w:num>
  <w:num w:numId="27">
    <w:abstractNumId w:val="7"/>
  </w:num>
  <w:num w:numId="28">
    <w:abstractNumId w:val="10"/>
  </w:num>
  <w:num w:numId="29">
    <w:abstractNumId w:val="2"/>
  </w:num>
  <w:num w:numId="30">
    <w:abstractNumId w:val="4"/>
  </w:num>
  <w:num w:numId="31">
    <w:abstractNumId w:val="1"/>
  </w:num>
  <w:num w:numId="32">
    <w:abstractNumId w:val="33"/>
  </w:num>
  <w:num w:numId="33">
    <w:abstractNumId w:val="18"/>
  </w:num>
  <w:num w:numId="34">
    <w:abstractNumId w:val="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D8"/>
    <w:rsid w:val="00004AF9"/>
    <w:rsid w:val="000056E6"/>
    <w:rsid w:val="00010407"/>
    <w:rsid w:val="00011DC7"/>
    <w:rsid w:val="00012437"/>
    <w:rsid w:val="00013F9B"/>
    <w:rsid w:val="00020DBA"/>
    <w:rsid w:val="0002286D"/>
    <w:rsid w:val="00024A6B"/>
    <w:rsid w:val="00031336"/>
    <w:rsid w:val="00032435"/>
    <w:rsid w:val="000358C1"/>
    <w:rsid w:val="0003693B"/>
    <w:rsid w:val="000409E9"/>
    <w:rsid w:val="000425E8"/>
    <w:rsid w:val="000443EF"/>
    <w:rsid w:val="00051D4A"/>
    <w:rsid w:val="000528A9"/>
    <w:rsid w:val="0005312C"/>
    <w:rsid w:val="00054255"/>
    <w:rsid w:val="00054F7E"/>
    <w:rsid w:val="00061330"/>
    <w:rsid w:val="00063577"/>
    <w:rsid w:val="00076655"/>
    <w:rsid w:val="00077821"/>
    <w:rsid w:val="00081196"/>
    <w:rsid w:val="00095ACF"/>
    <w:rsid w:val="000A0DA4"/>
    <w:rsid w:val="000A6AB7"/>
    <w:rsid w:val="000A6FE7"/>
    <w:rsid w:val="000A7B70"/>
    <w:rsid w:val="000B4754"/>
    <w:rsid w:val="000B51BA"/>
    <w:rsid w:val="000C252C"/>
    <w:rsid w:val="000C3F6D"/>
    <w:rsid w:val="000C4DF2"/>
    <w:rsid w:val="000C5CCD"/>
    <w:rsid w:val="000C6DE7"/>
    <w:rsid w:val="000D0526"/>
    <w:rsid w:val="000D213A"/>
    <w:rsid w:val="000D3496"/>
    <w:rsid w:val="000D4FE0"/>
    <w:rsid w:val="000D60B9"/>
    <w:rsid w:val="000D63D5"/>
    <w:rsid w:val="000E7B9D"/>
    <w:rsid w:val="000F6E77"/>
    <w:rsid w:val="00103C9A"/>
    <w:rsid w:val="00107D14"/>
    <w:rsid w:val="00110BA2"/>
    <w:rsid w:val="00122EA8"/>
    <w:rsid w:val="00126700"/>
    <w:rsid w:val="001335E7"/>
    <w:rsid w:val="00134869"/>
    <w:rsid w:val="00134AFC"/>
    <w:rsid w:val="001354B5"/>
    <w:rsid w:val="001368D8"/>
    <w:rsid w:val="0013704C"/>
    <w:rsid w:val="00137BFB"/>
    <w:rsid w:val="001601C9"/>
    <w:rsid w:val="00166DFD"/>
    <w:rsid w:val="00170386"/>
    <w:rsid w:val="00181768"/>
    <w:rsid w:val="001827BA"/>
    <w:rsid w:val="00194201"/>
    <w:rsid w:val="001A3C68"/>
    <w:rsid w:val="001A5B17"/>
    <w:rsid w:val="001B4A12"/>
    <w:rsid w:val="001D4052"/>
    <w:rsid w:val="001E1B80"/>
    <w:rsid w:val="001E25EB"/>
    <w:rsid w:val="001E29B9"/>
    <w:rsid w:val="001E4B3C"/>
    <w:rsid w:val="001F05CF"/>
    <w:rsid w:val="001F0F78"/>
    <w:rsid w:val="001F3DC3"/>
    <w:rsid w:val="001F495B"/>
    <w:rsid w:val="001F681B"/>
    <w:rsid w:val="002012E9"/>
    <w:rsid w:val="00203571"/>
    <w:rsid w:val="00203DAC"/>
    <w:rsid w:val="00207652"/>
    <w:rsid w:val="00211CD2"/>
    <w:rsid w:val="002149B1"/>
    <w:rsid w:val="00220487"/>
    <w:rsid w:val="00223000"/>
    <w:rsid w:val="00225191"/>
    <w:rsid w:val="00225BAC"/>
    <w:rsid w:val="002358EA"/>
    <w:rsid w:val="002458CE"/>
    <w:rsid w:val="00254D3F"/>
    <w:rsid w:val="00257922"/>
    <w:rsid w:val="00263131"/>
    <w:rsid w:val="00271CA3"/>
    <w:rsid w:val="00274906"/>
    <w:rsid w:val="0027555C"/>
    <w:rsid w:val="00277907"/>
    <w:rsid w:val="00280FD7"/>
    <w:rsid w:val="00284FC7"/>
    <w:rsid w:val="0028589A"/>
    <w:rsid w:val="0028770F"/>
    <w:rsid w:val="00295157"/>
    <w:rsid w:val="002A0020"/>
    <w:rsid w:val="002A5BCC"/>
    <w:rsid w:val="002B2ED5"/>
    <w:rsid w:val="002B7649"/>
    <w:rsid w:val="002C1D50"/>
    <w:rsid w:val="002C6241"/>
    <w:rsid w:val="002C7B6D"/>
    <w:rsid w:val="002D1498"/>
    <w:rsid w:val="002D5297"/>
    <w:rsid w:val="002D5456"/>
    <w:rsid w:val="002E1A9F"/>
    <w:rsid w:val="002E61AF"/>
    <w:rsid w:val="002F0D3B"/>
    <w:rsid w:val="002F28E8"/>
    <w:rsid w:val="002F3E99"/>
    <w:rsid w:val="00307C0B"/>
    <w:rsid w:val="00307F0A"/>
    <w:rsid w:val="0031240F"/>
    <w:rsid w:val="00312520"/>
    <w:rsid w:val="00315EDB"/>
    <w:rsid w:val="00317CE0"/>
    <w:rsid w:val="00323192"/>
    <w:rsid w:val="0034308B"/>
    <w:rsid w:val="00343952"/>
    <w:rsid w:val="00343EBC"/>
    <w:rsid w:val="00350245"/>
    <w:rsid w:val="00360F6D"/>
    <w:rsid w:val="00361F46"/>
    <w:rsid w:val="00370EA4"/>
    <w:rsid w:val="003744BE"/>
    <w:rsid w:val="00377DF8"/>
    <w:rsid w:val="00383513"/>
    <w:rsid w:val="003926DD"/>
    <w:rsid w:val="003933A6"/>
    <w:rsid w:val="00393BE0"/>
    <w:rsid w:val="0039739A"/>
    <w:rsid w:val="003A3003"/>
    <w:rsid w:val="003B5AEE"/>
    <w:rsid w:val="003B6853"/>
    <w:rsid w:val="003B6D74"/>
    <w:rsid w:val="003B733A"/>
    <w:rsid w:val="003C4417"/>
    <w:rsid w:val="003C5982"/>
    <w:rsid w:val="003D4506"/>
    <w:rsid w:val="003D6225"/>
    <w:rsid w:val="003F062B"/>
    <w:rsid w:val="003F3B05"/>
    <w:rsid w:val="003F4F55"/>
    <w:rsid w:val="00400031"/>
    <w:rsid w:val="004061A1"/>
    <w:rsid w:val="00411CC4"/>
    <w:rsid w:val="00414B95"/>
    <w:rsid w:val="004306CF"/>
    <w:rsid w:val="004317F8"/>
    <w:rsid w:val="0043390A"/>
    <w:rsid w:val="00435590"/>
    <w:rsid w:val="00435992"/>
    <w:rsid w:val="004364CF"/>
    <w:rsid w:val="00445068"/>
    <w:rsid w:val="00446160"/>
    <w:rsid w:val="004507A8"/>
    <w:rsid w:val="00450C9B"/>
    <w:rsid w:val="00461792"/>
    <w:rsid w:val="00470361"/>
    <w:rsid w:val="004726A2"/>
    <w:rsid w:val="0048078E"/>
    <w:rsid w:val="004809DF"/>
    <w:rsid w:val="00483816"/>
    <w:rsid w:val="004A35B9"/>
    <w:rsid w:val="004A39CC"/>
    <w:rsid w:val="004A5E16"/>
    <w:rsid w:val="004B046A"/>
    <w:rsid w:val="004B5B71"/>
    <w:rsid w:val="004C0955"/>
    <w:rsid w:val="004C17F7"/>
    <w:rsid w:val="004C3D75"/>
    <w:rsid w:val="004E10FB"/>
    <w:rsid w:val="004F032E"/>
    <w:rsid w:val="004F2D86"/>
    <w:rsid w:val="004F43B9"/>
    <w:rsid w:val="00504211"/>
    <w:rsid w:val="00514B1C"/>
    <w:rsid w:val="005208EA"/>
    <w:rsid w:val="005242D1"/>
    <w:rsid w:val="00525416"/>
    <w:rsid w:val="00526C8F"/>
    <w:rsid w:val="00527200"/>
    <w:rsid w:val="00532E7E"/>
    <w:rsid w:val="0054332C"/>
    <w:rsid w:val="005469D0"/>
    <w:rsid w:val="00551D26"/>
    <w:rsid w:val="00552810"/>
    <w:rsid w:val="00552A6D"/>
    <w:rsid w:val="00553452"/>
    <w:rsid w:val="00556971"/>
    <w:rsid w:val="0056108F"/>
    <w:rsid w:val="005618F5"/>
    <w:rsid w:val="00563DAC"/>
    <w:rsid w:val="00583910"/>
    <w:rsid w:val="00595F4A"/>
    <w:rsid w:val="005A5F6A"/>
    <w:rsid w:val="005C0B0A"/>
    <w:rsid w:val="005C36A2"/>
    <w:rsid w:val="005C4A1D"/>
    <w:rsid w:val="005C6D7A"/>
    <w:rsid w:val="005D472B"/>
    <w:rsid w:val="005D5324"/>
    <w:rsid w:val="005E69D0"/>
    <w:rsid w:val="005F7795"/>
    <w:rsid w:val="0060004F"/>
    <w:rsid w:val="006010E5"/>
    <w:rsid w:val="0060454F"/>
    <w:rsid w:val="006048A7"/>
    <w:rsid w:val="00605161"/>
    <w:rsid w:val="00606A6E"/>
    <w:rsid w:val="00607B8A"/>
    <w:rsid w:val="00607E1F"/>
    <w:rsid w:val="00610DF3"/>
    <w:rsid w:val="00615229"/>
    <w:rsid w:val="00621DE9"/>
    <w:rsid w:val="006234EC"/>
    <w:rsid w:val="00624480"/>
    <w:rsid w:val="0062517B"/>
    <w:rsid w:val="00633250"/>
    <w:rsid w:val="00633769"/>
    <w:rsid w:val="00634349"/>
    <w:rsid w:val="00634F31"/>
    <w:rsid w:val="006351ED"/>
    <w:rsid w:val="0064426D"/>
    <w:rsid w:val="006449EC"/>
    <w:rsid w:val="00651D75"/>
    <w:rsid w:val="0066010C"/>
    <w:rsid w:val="00665A2B"/>
    <w:rsid w:val="00667DC8"/>
    <w:rsid w:val="00675D6B"/>
    <w:rsid w:val="0067706F"/>
    <w:rsid w:val="00683443"/>
    <w:rsid w:val="00694DC2"/>
    <w:rsid w:val="0069542E"/>
    <w:rsid w:val="006966B9"/>
    <w:rsid w:val="006A1030"/>
    <w:rsid w:val="006A1D5A"/>
    <w:rsid w:val="006A4625"/>
    <w:rsid w:val="006C14A7"/>
    <w:rsid w:val="006C5DCA"/>
    <w:rsid w:val="006D1E38"/>
    <w:rsid w:val="006D2E9B"/>
    <w:rsid w:val="006D7A21"/>
    <w:rsid w:val="006E202E"/>
    <w:rsid w:val="006E4505"/>
    <w:rsid w:val="006F56AC"/>
    <w:rsid w:val="00703C9D"/>
    <w:rsid w:val="00707670"/>
    <w:rsid w:val="007331BC"/>
    <w:rsid w:val="00733D61"/>
    <w:rsid w:val="00741DBD"/>
    <w:rsid w:val="00742BA7"/>
    <w:rsid w:val="00742C3F"/>
    <w:rsid w:val="00747B56"/>
    <w:rsid w:val="00755D1C"/>
    <w:rsid w:val="00756F73"/>
    <w:rsid w:val="0075701A"/>
    <w:rsid w:val="00757A5A"/>
    <w:rsid w:val="0076074B"/>
    <w:rsid w:val="00765A88"/>
    <w:rsid w:val="007717DD"/>
    <w:rsid w:val="007761EF"/>
    <w:rsid w:val="007777D2"/>
    <w:rsid w:val="00790FF2"/>
    <w:rsid w:val="0079701A"/>
    <w:rsid w:val="007978AF"/>
    <w:rsid w:val="007B3DAC"/>
    <w:rsid w:val="007B6B6D"/>
    <w:rsid w:val="007C112D"/>
    <w:rsid w:val="007C50EB"/>
    <w:rsid w:val="007D008F"/>
    <w:rsid w:val="007D3272"/>
    <w:rsid w:val="007D40EA"/>
    <w:rsid w:val="007E38F6"/>
    <w:rsid w:val="007E4780"/>
    <w:rsid w:val="007F49BF"/>
    <w:rsid w:val="007F6CA0"/>
    <w:rsid w:val="007F7AED"/>
    <w:rsid w:val="00801749"/>
    <w:rsid w:val="008035D6"/>
    <w:rsid w:val="008035D8"/>
    <w:rsid w:val="00816246"/>
    <w:rsid w:val="008168FD"/>
    <w:rsid w:val="00816B65"/>
    <w:rsid w:val="00822CB0"/>
    <w:rsid w:val="008302D9"/>
    <w:rsid w:val="008306B2"/>
    <w:rsid w:val="0083593F"/>
    <w:rsid w:val="00840C97"/>
    <w:rsid w:val="0084780F"/>
    <w:rsid w:val="008545D9"/>
    <w:rsid w:val="00855CF7"/>
    <w:rsid w:val="008578B6"/>
    <w:rsid w:val="0086439E"/>
    <w:rsid w:val="0086796E"/>
    <w:rsid w:val="00873A07"/>
    <w:rsid w:val="008818EE"/>
    <w:rsid w:val="00886550"/>
    <w:rsid w:val="00890C76"/>
    <w:rsid w:val="008967D5"/>
    <w:rsid w:val="008B28BD"/>
    <w:rsid w:val="008B4C17"/>
    <w:rsid w:val="008D3A1A"/>
    <w:rsid w:val="008F3029"/>
    <w:rsid w:val="009008A4"/>
    <w:rsid w:val="00902119"/>
    <w:rsid w:val="00904627"/>
    <w:rsid w:val="00905AB3"/>
    <w:rsid w:val="00907933"/>
    <w:rsid w:val="00910449"/>
    <w:rsid w:val="009109C3"/>
    <w:rsid w:val="00920B8B"/>
    <w:rsid w:val="0093076A"/>
    <w:rsid w:val="009355D5"/>
    <w:rsid w:val="00935DB8"/>
    <w:rsid w:val="00942D6F"/>
    <w:rsid w:val="009439D2"/>
    <w:rsid w:val="00943C5E"/>
    <w:rsid w:val="009475A6"/>
    <w:rsid w:val="009514F9"/>
    <w:rsid w:val="009531F1"/>
    <w:rsid w:val="00962EED"/>
    <w:rsid w:val="00967BE2"/>
    <w:rsid w:val="0097324C"/>
    <w:rsid w:val="0097337E"/>
    <w:rsid w:val="009762AD"/>
    <w:rsid w:val="009807E3"/>
    <w:rsid w:val="009823A1"/>
    <w:rsid w:val="00983217"/>
    <w:rsid w:val="00984AE1"/>
    <w:rsid w:val="0098541D"/>
    <w:rsid w:val="0099318C"/>
    <w:rsid w:val="009941C6"/>
    <w:rsid w:val="009A21B9"/>
    <w:rsid w:val="009A335A"/>
    <w:rsid w:val="009A44FD"/>
    <w:rsid w:val="009B0A72"/>
    <w:rsid w:val="009B515A"/>
    <w:rsid w:val="009B6ECE"/>
    <w:rsid w:val="009C47CA"/>
    <w:rsid w:val="009C48EA"/>
    <w:rsid w:val="009D2032"/>
    <w:rsid w:val="009E38B0"/>
    <w:rsid w:val="009E70D0"/>
    <w:rsid w:val="009F608B"/>
    <w:rsid w:val="009F6DF3"/>
    <w:rsid w:val="00A0151A"/>
    <w:rsid w:val="00A03DC8"/>
    <w:rsid w:val="00A0552A"/>
    <w:rsid w:val="00A05F0B"/>
    <w:rsid w:val="00A2479C"/>
    <w:rsid w:val="00A27E8E"/>
    <w:rsid w:val="00A306BE"/>
    <w:rsid w:val="00A331CE"/>
    <w:rsid w:val="00A40180"/>
    <w:rsid w:val="00A413B4"/>
    <w:rsid w:val="00A41FEF"/>
    <w:rsid w:val="00A60732"/>
    <w:rsid w:val="00A63CA3"/>
    <w:rsid w:val="00A7002D"/>
    <w:rsid w:val="00A75682"/>
    <w:rsid w:val="00A82A9B"/>
    <w:rsid w:val="00A87A41"/>
    <w:rsid w:val="00A9277E"/>
    <w:rsid w:val="00A96145"/>
    <w:rsid w:val="00AA5804"/>
    <w:rsid w:val="00AA7586"/>
    <w:rsid w:val="00AC02DE"/>
    <w:rsid w:val="00AC3DB1"/>
    <w:rsid w:val="00AC67BB"/>
    <w:rsid w:val="00AC7B31"/>
    <w:rsid w:val="00AD0A17"/>
    <w:rsid w:val="00AD24B2"/>
    <w:rsid w:val="00AD2886"/>
    <w:rsid w:val="00AD6A5B"/>
    <w:rsid w:val="00AD7185"/>
    <w:rsid w:val="00AE2D13"/>
    <w:rsid w:val="00AE5AAD"/>
    <w:rsid w:val="00AF060C"/>
    <w:rsid w:val="00AF1851"/>
    <w:rsid w:val="00AF1933"/>
    <w:rsid w:val="00AF1C84"/>
    <w:rsid w:val="00AF462A"/>
    <w:rsid w:val="00AF6E96"/>
    <w:rsid w:val="00B042E7"/>
    <w:rsid w:val="00B04AA8"/>
    <w:rsid w:val="00B076F6"/>
    <w:rsid w:val="00B11A67"/>
    <w:rsid w:val="00B22921"/>
    <w:rsid w:val="00B2494F"/>
    <w:rsid w:val="00B24D42"/>
    <w:rsid w:val="00B260FB"/>
    <w:rsid w:val="00B2635B"/>
    <w:rsid w:val="00B276BB"/>
    <w:rsid w:val="00B404A1"/>
    <w:rsid w:val="00B4609C"/>
    <w:rsid w:val="00B56063"/>
    <w:rsid w:val="00B5690D"/>
    <w:rsid w:val="00B63862"/>
    <w:rsid w:val="00B64FFB"/>
    <w:rsid w:val="00B65215"/>
    <w:rsid w:val="00B65F3C"/>
    <w:rsid w:val="00B74251"/>
    <w:rsid w:val="00B74337"/>
    <w:rsid w:val="00B80442"/>
    <w:rsid w:val="00B829D4"/>
    <w:rsid w:val="00B9192B"/>
    <w:rsid w:val="00B936F6"/>
    <w:rsid w:val="00B97525"/>
    <w:rsid w:val="00BA1F3D"/>
    <w:rsid w:val="00BA4BE0"/>
    <w:rsid w:val="00BA56BB"/>
    <w:rsid w:val="00BA7E5D"/>
    <w:rsid w:val="00BC2E2D"/>
    <w:rsid w:val="00BC5ABA"/>
    <w:rsid w:val="00BD16DA"/>
    <w:rsid w:val="00BE15DD"/>
    <w:rsid w:val="00BE1F97"/>
    <w:rsid w:val="00BE2449"/>
    <w:rsid w:val="00BF3DE9"/>
    <w:rsid w:val="00BF6DB5"/>
    <w:rsid w:val="00C01364"/>
    <w:rsid w:val="00C0217C"/>
    <w:rsid w:val="00C03775"/>
    <w:rsid w:val="00C07C6D"/>
    <w:rsid w:val="00C136B3"/>
    <w:rsid w:val="00C21B18"/>
    <w:rsid w:val="00C21B1D"/>
    <w:rsid w:val="00C21C16"/>
    <w:rsid w:val="00C26A73"/>
    <w:rsid w:val="00C26ACE"/>
    <w:rsid w:val="00C30161"/>
    <w:rsid w:val="00C31E21"/>
    <w:rsid w:val="00C3566E"/>
    <w:rsid w:val="00C360C9"/>
    <w:rsid w:val="00C43482"/>
    <w:rsid w:val="00C43BCB"/>
    <w:rsid w:val="00C44C3C"/>
    <w:rsid w:val="00C47859"/>
    <w:rsid w:val="00C47A5D"/>
    <w:rsid w:val="00C5032B"/>
    <w:rsid w:val="00C5069F"/>
    <w:rsid w:val="00C57DB6"/>
    <w:rsid w:val="00C61539"/>
    <w:rsid w:val="00C656D3"/>
    <w:rsid w:val="00C67DB3"/>
    <w:rsid w:val="00C72F0D"/>
    <w:rsid w:val="00C74166"/>
    <w:rsid w:val="00C819FF"/>
    <w:rsid w:val="00C8260A"/>
    <w:rsid w:val="00C84164"/>
    <w:rsid w:val="00C84730"/>
    <w:rsid w:val="00C84A84"/>
    <w:rsid w:val="00C85358"/>
    <w:rsid w:val="00CA7369"/>
    <w:rsid w:val="00CB1A9F"/>
    <w:rsid w:val="00CB1F83"/>
    <w:rsid w:val="00CB58B9"/>
    <w:rsid w:val="00CB6B3F"/>
    <w:rsid w:val="00CC347F"/>
    <w:rsid w:val="00CC79AD"/>
    <w:rsid w:val="00CD0A6A"/>
    <w:rsid w:val="00CD0F46"/>
    <w:rsid w:val="00CD215F"/>
    <w:rsid w:val="00CD3192"/>
    <w:rsid w:val="00CD52CE"/>
    <w:rsid w:val="00CD717F"/>
    <w:rsid w:val="00CE17F9"/>
    <w:rsid w:val="00CE2EC5"/>
    <w:rsid w:val="00CE6053"/>
    <w:rsid w:val="00CF0EDF"/>
    <w:rsid w:val="00CF6453"/>
    <w:rsid w:val="00CF7CD7"/>
    <w:rsid w:val="00D02054"/>
    <w:rsid w:val="00D129B2"/>
    <w:rsid w:val="00D12E64"/>
    <w:rsid w:val="00D216B1"/>
    <w:rsid w:val="00D21FEC"/>
    <w:rsid w:val="00D24145"/>
    <w:rsid w:val="00D24B1D"/>
    <w:rsid w:val="00D25DF8"/>
    <w:rsid w:val="00D36EF5"/>
    <w:rsid w:val="00D407E4"/>
    <w:rsid w:val="00D439B0"/>
    <w:rsid w:val="00D463A1"/>
    <w:rsid w:val="00D46DAA"/>
    <w:rsid w:val="00D50ED4"/>
    <w:rsid w:val="00D5152F"/>
    <w:rsid w:val="00D563F6"/>
    <w:rsid w:val="00D61163"/>
    <w:rsid w:val="00D62CE4"/>
    <w:rsid w:val="00D63BA1"/>
    <w:rsid w:val="00D65C8E"/>
    <w:rsid w:val="00D672AC"/>
    <w:rsid w:val="00D70A15"/>
    <w:rsid w:val="00D70A6F"/>
    <w:rsid w:val="00D7145B"/>
    <w:rsid w:val="00D731E9"/>
    <w:rsid w:val="00D73AFF"/>
    <w:rsid w:val="00D73E09"/>
    <w:rsid w:val="00D743F1"/>
    <w:rsid w:val="00D74C21"/>
    <w:rsid w:val="00D80A80"/>
    <w:rsid w:val="00D824C9"/>
    <w:rsid w:val="00D86261"/>
    <w:rsid w:val="00D90BC4"/>
    <w:rsid w:val="00D966B0"/>
    <w:rsid w:val="00DA23F0"/>
    <w:rsid w:val="00DA5F46"/>
    <w:rsid w:val="00DA6760"/>
    <w:rsid w:val="00DA6841"/>
    <w:rsid w:val="00DA7019"/>
    <w:rsid w:val="00DC173C"/>
    <w:rsid w:val="00DC3316"/>
    <w:rsid w:val="00DD318A"/>
    <w:rsid w:val="00DD503C"/>
    <w:rsid w:val="00DD61FF"/>
    <w:rsid w:val="00DE0E09"/>
    <w:rsid w:val="00DE21E6"/>
    <w:rsid w:val="00DE4FE9"/>
    <w:rsid w:val="00DE71A9"/>
    <w:rsid w:val="00DF0C6B"/>
    <w:rsid w:val="00E02C5C"/>
    <w:rsid w:val="00E03608"/>
    <w:rsid w:val="00E03C2E"/>
    <w:rsid w:val="00E0655A"/>
    <w:rsid w:val="00E07C42"/>
    <w:rsid w:val="00E07DA8"/>
    <w:rsid w:val="00E10021"/>
    <w:rsid w:val="00E12484"/>
    <w:rsid w:val="00E139DE"/>
    <w:rsid w:val="00E14E58"/>
    <w:rsid w:val="00E214EF"/>
    <w:rsid w:val="00E265F1"/>
    <w:rsid w:val="00E313FA"/>
    <w:rsid w:val="00E3217F"/>
    <w:rsid w:val="00E32CB4"/>
    <w:rsid w:val="00E3301E"/>
    <w:rsid w:val="00E41AFC"/>
    <w:rsid w:val="00E45301"/>
    <w:rsid w:val="00E5231E"/>
    <w:rsid w:val="00E52589"/>
    <w:rsid w:val="00E53439"/>
    <w:rsid w:val="00E54B32"/>
    <w:rsid w:val="00E67279"/>
    <w:rsid w:val="00E75FC3"/>
    <w:rsid w:val="00E91212"/>
    <w:rsid w:val="00E94AF3"/>
    <w:rsid w:val="00E9737A"/>
    <w:rsid w:val="00EA136C"/>
    <w:rsid w:val="00EA2E1C"/>
    <w:rsid w:val="00EA4C13"/>
    <w:rsid w:val="00EA4C41"/>
    <w:rsid w:val="00EA5C03"/>
    <w:rsid w:val="00EA67CA"/>
    <w:rsid w:val="00EB692E"/>
    <w:rsid w:val="00EC25C3"/>
    <w:rsid w:val="00EC2F4B"/>
    <w:rsid w:val="00EC668C"/>
    <w:rsid w:val="00EE1DCE"/>
    <w:rsid w:val="00EE30E3"/>
    <w:rsid w:val="00EE34A6"/>
    <w:rsid w:val="00EE4AF1"/>
    <w:rsid w:val="00EE5462"/>
    <w:rsid w:val="00EE58EC"/>
    <w:rsid w:val="00EE6879"/>
    <w:rsid w:val="00EE7ADD"/>
    <w:rsid w:val="00EF0CDA"/>
    <w:rsid w:val="00EF2274"/>
    <w:rsid w:val="00EF3180"/>
    <w:rsid w:val="00EF735B"/>
    <w:rsid w:val="00F000B3"/>
    <w:rsid w:val="00F0262E"/>
    <w:rsid w:val="00F03DF9"/>
    <w:rsid w:val="00F07FC6"/>
    <w:rsid w:val="00F179BB"/>
    <w:rsid w:val="00F20775"/>
    <w:rsid w:val="00F21D8A"/>
    <w:rsid w:val="00F2259C"/>
    <w:rsid w:val="00F24990"/>
    <w:rsid w:val="00F24F1A"/>
    <w:rsid w:val="00F31B21"/>
    <w:rsid w:val="00F31C30"/>
    <w:rsid w:val="00F427A8"/>
    <w:rsid w:val="00F43B8C"/>
    <w:rsid w:val="00F47573"/>
    <w:rsid w:val="00F52A52"/>
    <w:rsid w:val="00F64948"/>
    <w:rsid w:val="00F70E59"/>
    <w:rsid w:val="00F71D9B"/>
    <w:rsid w:val="00F71EEB"/>
    <w:rsid w:val="00F85859"/>
    <w:rsid w:val="00F8682B"/>
    <w:rsid w:val="00F87E62"/>
    <w:rsid w:val="00F9291F"/>
    <w:rsid w:val="00F92B37"/>
    <w:rsid w:val="00F93C1F"/>
    <w:rsid w:val="00F97364"/>
    <w:rsid w:val="00FA04E7"/>
    <w:rsid w:val="00FA1CD2"/>
    <w:rsid w:val="00FB0262"/>
    <w:rsid w:val="00FB6950"/>
    <w:rsid w:val="00FB6E5B"/>
    <w:rsid w:val="00FC0A04"/>
    <w:rsid w:val="00FC0F13"/>
    <w:rsid w:val="00FC3B21"/>
    <w:rsid w:val="00FC4923"/>
    <w:rsid w:val="00FE23A8"/>
    <w:rsid w:val="00FE50EA"/>
    <w:rsid w:val="00FE7CBE"/>
    <w:rsid w:val="00FF44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10904"/>
  <w15:docId w15:val="{062B99E3-E9F2-44BD-9AD7-CFB715CD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D6B"/>
  </w:style>
  <w:style w:type="paragraph" w:styleId="Heading1">
    <w:name w:val="heading 1"/>
    <w:basedOn w:val="Normal"/>
    <w:link w:val="Heading1Char"/>
    <w:uiPriority w:val="9"/>
    <w:qFormat/>
    <w:rsid w:val="00904627"/>
    <w:pPr>
      <w:spacing w:after="0" w:line="240" w:lineRule="auto"/>
      <w:outlineLvl w:val="0"/>
    </w:pPr>
    <w:rPr>
      <w:rFonts w:ascii="Arial" w:eastAsia="Times New Roman" w:hAnsi="Arial" w:cs="Arial"/>
      <w:b/>
      <w:bCs/>
      <w:color w:val="003399"/>
      <w:kern w:val="36"/>
      <w:sz w:val="27"/>
      <w:szCs w:val="27"/>
      <w:lang w:eastAsia="en-GB"/>
    </w:rPr>
  </w:style>
  <w:style w:type="paragraph" w:styleId="Heading2">
    <w:name w:val="heading 2"/>
    <w:basedOn w:val="Normal"/>
    <w:next w:val="Normal"/>
    <w:link w:val="Heading2Char"/>
    <w:uiPriority w:val="9"/>
    <w:unhideWhenUsed/>
    <w:qFormat/>
    <w:rsid w:val="00CF7C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B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68D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36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93B"/>
    <w:pPr>
      <w:ind w:left="720"/>
      <w:contextualSpacing/>
    </w:pPr>
  </w:style>
  <w:style w:type="character" w:styleId="Hyperlink">
    <w:name w:val="Hyperlink"/>
    <w:basedOn w:val="DefaultParagraphFont"/>
    <w:uiPriority w:val="99"/>
    <w:unhideWhenUsed/>
    <w:rsid w:val="00556971"/>
    <w:rPr>
      <w:color w:val="0000FF" w:themeColor="hyperlink"/>
      <w:u w:val="single"/>
    </w:rPr>
  </w:style>
  <w:style w:type="paragraph" w:styleId="Header">
    <w:name w:val="header"/>
    <w:basedOn w:val="Normal"/>
    <w:link w:val="HeaderChar"/>
    <w:uiPriority w:val="99"/>
    <w:unhideWhenUsed/>
    <w:rsid w:val="00790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FF2"/>
  </w:style>
  <w:style w:type="paragraph" w:styleId="Footer">
    <w:name w:val="footer"/>
    <w:basedOn w:val="Normal"/>
    <w:link w:val="FooterChar"/>
    <w:uiPriority w:val="99"/>
    <w:unhideWhenUsed/>
    <w:rsid w:val="00790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FF2"/>
  </w:style>
  <w:style w:type="paragraph" w:styleId="BalloonText">
    <w:name w:val="Balloon Text"/>
    <w:basedOn w:val="Normal"/>
    <w:link w:val="BalloonTextChar"/>
    <w:uiPriority w:val="99"/>
    <w:semiHidden/>
    <w:unhideWhenUsed/>
    <w:rsid w:val="00343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EBC"/>
    <w:rPr>
      <w:rFonts w:ascii="Tahoma" w:hAnsi="Tahoma" w:cs="Tahoma"/>
      <w:sz w:val="16"/>
      <w:szCs w:val="16"/>
    </w:rPr>
  </w:style>
  <w:style w:type="paragraph" w:customStyle="1" w:styleId="DecimalAligned">
    <w:name w:val="Decimal Aligned"/>
    <w:basedOn w:val="Normal"/>
    <w:uiPriority w:val="99"/>
    <w:rsid w:val="000358C1"/>
    <w:pPr>
      <w:tabs>
        <w:tab w:val="decimal" w:pos="360"/>
      </w:tabs>
    </w:pPr>
    <w:rPr>
      <w:rFonts w:ascii="Calibri" w:eastAsia="Times New Roman" w:hAnsi="Calibri" w:cs="Calibri"/>
      <w:lang w:val="en-US"/>
    </w:rPr>
  </w:style>
  <w:style w:type="character" w:styleId="SubtleEmphasis">
    <w:name w:val="Subtle Emphasis"/>
    <w:uiPriority w:val="99"/>
    <w:qFormat/>
    <w:rsid w:val="000358C1"/>
    <w:rPr>
      <w:rFonts w:eastAsia="Times New Roman"/>
      <w:i/>
      <w:iCs/>
      <w:color w:val="808080"/>
      <w:sz w:val="22"/>
      <w:szCs w:val="22"/>
      <w:lang w:val="en-US"/>
    </w:rPr>
  </w:style>
  <w:style w:type="character" w:customStyle="1" w:styleId="Heading1Char">
    <w:name w:val="Heading 1 Char"/>
    <w:basedOn w:val="DefaultParagraphFont"/>
    <w:link w:val="Heading1"/>
    <w:uiPriority w:val="9"/>
    <w:rsid w:val="00904627"/>
    <w:rPr>
      <w:rFonts w:ascii="Arial" w:eastAsia="Times New Roman" w:hAnsi="Arial" w:cs="Arial"/>
      <w:b/>
      <w:bCs/>
      <w:color w:val="003399"/>
      <w:kern w:val="36"/>
      <w:sz w:val="27"/>
      <w:szCs w:val="27"/>
      <w:lang w:eastAsia="en-GB"/>
    </w:rPr>
  </w:style>
  <w:style w:type="character" w:customStyle="1" w:styleId="citation">
    <w:name w:val="citation"/>
    <w:basedOn w:val="DefaultParagraphFont"/>
    <w:rsid w:val="006449EC"/>
  </w:style>
  <w:style w:type="character" w:customStyle="1" w:styleId="citation-abbreviation">
    <w:name w:val="citation-abbreviation"/>
    <w:basedOn w:val="DefaultParagraphFont"/>
    <w:rsid w:val="00AF1933"/>
  </w:style>
  <w:style w:type="character" w:customStyle="1" w:styleId="citation-publication-date">
    <w:name w:val="citation-publication-date"/>
    <w:basedOn w:val="DefaultParagraphFont"/>
    <w:rsid w:val="00AF1933"/>
  </w:style>
  <w:style w:type="character" w:customStyle="1" w:styleId="citation-volume">
    <w:name w:val="citation-volume"/>
    <w:basedOn w:val="DefaultParagraphFont"/>
    <w:rsid w:val="00AF1933"/>
  </w:style>
  <w:style w:type="character" w:customStyle="1" w:styleId="citation-issue">
    <w:name w:val="citation-issue"/>
    <w:basedOn w:val="DefaultParagraphFont"/>
    <w:rsid w:val="00AF1933"/>
  </w:style>
  <w:style w:type="character" w:customStyle="1" w:styleId="citation-flpages">
    <w:name w:val="citation-flpages"/>
    <w:basedOn w:val="DefaultParagraphFont"/>
    <w:rsid w:val="00AF1933"/>
  </w:style>
  <w:style w:type="character" w:customStyle="1" w:styleId="st1">
    <w:name w:val="st1"/>
    <w:basedOn w:val="DefaultParagraphFont"/>
    <w:rsid w:val="00AF1933"/>
  </w:style>
  <w:style w:type="paragraph" w:styleId="NormalWeb">
    <w:name w:val="Normal (Web)"/>
    <w:basedOn w:val="Normal"/>
    <w:uiPriority w:val="99"/>
    <w:unhideWhenUsed/>
    <w:rsid w:val="00E07C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ed">
    <w:name w:val="bulleted"/>
    <w:basedOn w:val="Normal"/>
    <w:rsid w:val="00E07C42"/>
    <w:pPr>
      <w:spacing w:after="90" w:line="240" w:lineRule="auto"/>
    </w:pPr>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rsid w:val="00747B56"/>
    <w:rPr>
      <w:rFonts w:asciiTheme="majorHAnsi" w:eastAsiaTheme="majorEastAsia" w:hAnsiTheme="majorHAnsi" w:cstheme="majorBidi"/>
      <w:b/>
      <w:bCs/>
      <w:color w:val="4F81BD" w:themeColor="accent1"/>
    </w:rPr>
  </w:style>
  <w:style w:type="paragraph" w:customStyle="1" w:styleId="Pa14">
    <w:name w:val="Pa14"/>
    <w:basedOn w:val="Default"/>
    <w:next w:val="Default"/>
    <w:uiPriority w:val="99"/>
    <w:rsid w:val="00532E7E"/>
    <w:pPr>
      <w:spacing w:line="161" w:lineRule="atLeast"/>
    </w:pPr>
    <w:rPr>
      <w:rFonts w:ascii="MetaHeadlineOT-Bold" w:hAnsi="MetaHeadlineOT-Bold" w:cstheme="minorBidi"/>
      <w:color w:val="auto"/>
    </w:rPr>
  </w:style>
  <w:style w:type="paragraph" w:customStyle="1" w:styleId="Pa4">
    <w:name w:val="Pa4"/>
    <w:basedOn w:val="Default"/>
    <w:next w:val="Default"/>
    <w:uiPriority w:val="99"/>
    <w:rsid w:val="00532E7E"/>
    <w:pPr>
      <w:spacing w:line="141" w:lineRule="atLeast"/>
    </w:pPr>
    <w:rPr>
      <w:rFonts w:ascii="MetaHeadlineOT-Bold" w:hAnsi="MetaHeadlineOT-Bold" w:cstheme="minorBidi"/>
      <w:color w:val="auto"/>
    </w:rPr>
  </w:style>
  <w:style w:type="paragraph" w:customStyle="1" w:styleId="Pa16">
    <w:name w:val="Pa16"/>
    <w:basedOn w:val="Default"/>
    <w:next w:val="Default"/>
    <w:uiPriority w:val="99"/>
    <w:rsid w:val="00532E7E"/>
    <w:pPr>
      <w:spacing w:line="141" w:lineRule="atLeast"/>
    </w:pPr>
    <w:rPr>
      <w:rFonts w:ascii="MetaHeadlineOT-Bold" w:hAnsi="MetaHeadlineOT-Bold" w:cstheme="minorBidi"/>
      <w:color w:val="auto"/>
    </w:rPr>
  </w:style>
  <w:style w:type="character" w:styleId="Strong">
    <w:name w:val="Strong"/>
    <w:basedOn w:val="DefaultParagraphFont"/>
    <w:uiPriority w:val="22"/>
    <w:qFormat/>
    <w:rsid w:val="002A5BCC"/>
    <w:rPr>
      <w:b/>
      <w:bCs/>
    </w:rPr>
  </w:style>
  <w:style w:type="table" w:customStyle="1" w:styleId="ListTable1Light1">
    <w:name w:val="List Table 1 Light1"/>
    <w:basedOn w:val="TableNormal"/>
    <w:uiPriority w:val="46"/>
    <w:rsid w:val="008478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EE30E3"/>
    <w:rPr>
      <w:sz w:val="16"/>
      <w:szCs w:val="16"/>
    </w:rPr>
  </w:style>
  <w:style w:type="paragraph" w:styleId="CommentText">
    <w:name w:val="annotation text"/>
    <w:basedOn w:val="Normal"/>
    <w:link w:val="CommentTextChar"/>
    <w:uiPriority w:val="99"/>
    <w:semiHidden/>
    <w:unhideWhenUsed/>
    <w:rsid w:val="00EE30E3"/>
    <w:pPr>
      <w:spacing w:line="240" w:lineRule="auto"/>
    </w:pPr>
    <w:rPr>
      <w:sz w:val="20"/>
      <w:szCs w:val="20"/>
    </w:rPr>
  </w:style>
  <w:style w:type="character" w:customStyle="1" w:styleId="CommentTextChar">
    <w:name w:val="Comment Text Char"/>
    <w:basedOn w:val="DefaultParagraphFont"/>
    <w:link w:val="CommentText"/>
    <w:uiPriority w:val="99"/>
    <w:semiHidden/>
    <w:rsid w:val="00EE30E3"/>
    <w:rPr>
      <w:sz w:val="20"/>
      <w:szCs w:val="20"/>
    </w:rPr>
  </w:style>
  <w:style w:type="paragraph" w:styleId="CommentSubject">
    <w:name w:val="annotation subject"/>
    <w:basedOn w:val="CommentText"/>
    <w:next w:val="CommentText"/>
    <w:link w:val="CommentSubjectChar"/>
    <w:uiPriority w:val="99"/>
    <w:semiHidden/>
    <w:unhideWhenUsed/>
    <w:rsid w:val="00EE30E3"/>
    <w:rPr>
      <w:b/>
      <w:bCs/>
    </w:rPr>
  </w:style>
  <w:style w:type="character" w:customStyle="1" w:styleId="CommentSubjectChar">
    <w:name w:val="Comment Subject Char"/>
    <w:basedOn w:val="CommentTextChar"/>
    <w:link w:val="CommentSubject"/>
    <w:uiPriority w:val="99"/>
    <w:semiHidden/>
    <w:rsid w:val="00EE30E3"/>
    <w:rPr>
      <w:b/>
      <w:bCs/>
      <w:sz w:val="20"/>
      <w:szCs w:val="20"/>
    </w:rPr>
  </w:style>
  <w:style w:type="table" w:customStyle="1" w:styleId="PlainTable31">
    <w:name w:val="Plain Table 31"/>
    <w:basedOn w:val="TableNormal"/>
    <w:uiPriority w:val="43"/>
    <w:rsid w:val="000228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C21B1D"/>
  </w:style>
  <w:style w:type="paragraph" w:styleId="TOCHeading">
    <w:name w:val="TOC Heading"/>
    <w:basedOn w:val="Heading1"/>
    <w:next w:val="Normal"/>
    <w:uiPriority w:val="39"/>
    <w:unhideWhenUsed/>
    <w:qFormat/>
    <w:rsid w:val="00DE0E09"/>
    <w:pPr>
      <w:keepNext/>
      <w:keepLines/>
      <w:spacing w:before="24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2">
    <w:name w:val="toc 2"/>
    <w:basedOn w:val="Normal"/>
    <w:next w:val="Normal"/>
    <w:autoRedefine/>
    <w:uiPriority w:val="39"/>
    <w:unhideWhenUsed/>
    <w:rsid w:val="00DE0E09"/>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DE0E09"/>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DE0E09"/>
    <w:pPr>
      <w:spacing w:after="100" w:line="259" w:lineRule="auto"/>
      <w:ind w:left="440"/>
    </w:pPr>
    <w:rPr>
      <w:rFonts w:eastAsiaTheme="minorEastAsia" w:cs="Times New Roman"/>
      <w:lang w:val="en-US"/>
    </w:rPr>
  </w:style>
  <w:style w:type="paragraph" w:styleId="Title">
    <w:name w:val="Title"/>
    <w:basedOn w:val="Normal"/>
    <w:next w:val="Normal"/>
    <w:link w:val="TitleChar"/>
    <w:uiPriority w:val="10"/>
    <w:qFormat/>
    <w:rsid w:val="00CF7C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CD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F7CD7"/>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A05F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05F0B"/>
    <w:rPr>
      <w:rFonts w:eastAsiaTheme="minorEastAsia"/>
      <w:lang w:val="en-US"/>
    </w:rPr>
  </w:style>
  <w:style w:type="paragraph" w:styleId="Subtitle">
    <w:name w:val="Subtitle"/>
    <w:basedOn w:val="Normal"/>
    <w:next w:val="Normal"/>
    <w:link w:val="SubtitleChar"/>
    <w:uiPriority w:val="11"/>
    <w:qFormat/>
    <w:rsid w:val="00A05F0B"/>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A05F0B"/>
    <w:rPr>
      <w:rFonts w:eastAsiaTheme="minorEastAsia" w:cs="Times New Roman"/>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29301">
      <w:bodyDiv w:val="1"/>
      <w:marLeft w:val="0"/>
      <w:marRight w:val="0"/>
      <w:marTop w:val="0"/>
      <w:marBottom w:val="0"/>
      <w:divBdr>
        <w:top w:val="none" w:sz="0" w:space="0" w:color="auto"/>
        <w:left w:val="none" w:sz="0" w:space="0" w:color="auto"/>
        <w:bottom w:val="none" w:sz="0" w:space="0" w:color="auto"/>
        <w:right w:val="none" w:sz="0" w:space="0" w:color="auto"/>
      </w:divBdr>
    </w:div>
    <w:div w:id="192547718">
      <w:bodyDiv w:val="1"/>
      <w:marLeft w:val="0"/>
      <w:marRight w:val="0"/>
      <w:marTop w:val="0"/>
      <w:marBottom w:val="0"/>
      <w:divBdr>
        <w:top w:val="none" w:sz="0" w:space="0" w:color="auto"/>
        <w:left w:val="none" w:sz="0" w:space="0" w:color="auto"/>
        <w:bottom w:val="none" w:sz="0" w:space="0" w:color="auto"/>
        <w:right w:val="none" w:sz="0" w:space="0" w:color="auto"/>
      </w:divBdr>
    </w:div>
    <w:div w:id="308676796">
      <w:bodyDiv w:val="1"/>
      <w:marLeft w:val="0"/>
      <w:marRight w:val="0"/>
      <w:marTop w:val="0"/>
      <w:marBottom w:val="0"/>
      <w:divBdr>
        <w:top w:val="none" w:sz="0" w:space="0" w:color="auto"/>
        <w:left w:val="none" w:sz="0" w:space="0" w:color="auto"/>
        <w:bottom w:val="none" w:sz="0" w:space="0" w:color="auto"/>
        <w:right w:val="none" w:sz="0" w:space="0" w:color="auto"/>
      </w:divBdr>
      <w:divsChild>
        <w:div w:id="343945513">
          <w:marLeft w:val="0"/>
          <w:marRight w:val="0"/>
          <w:marTop w:val="0"/>
          <w:marBottom w:val="0"/>
          <w:divBdr>
            <w:top w:val="none" w:sz="0" w:space="0" w:color="auto"/>
            <w:left w:val="none" w:sz="0" w:space="0" w:color="auto"/>
            <w:bottom w:val="none" w:sz="0" w:space="0" w:color="auto"/>
            <w:right w:val="none" w:sz="0" w:space="0" w:color="auto"/>
          </w:divBdr>
          <w:divsChild>
            <w:div w:id="1614093805">
              <w:marLeft w:val="0"/>
              <w:marRight w:val="-300"/>
              <w:marTop w:val="0"/>
              <w:marBottom w:val="0"/>
              <w:divBdr>
                <w:top w:val="none" w:sz="0" w:space="0" w:color="auto"/>
                <w:left w:val="none" w:sz="0" w:space="0" w:color="auto"/>
                <w:bottom w:val="none" w:sz="0" w:space="0" w:color="auto"/>
                <w:right w:val="none" w:sz="0" w:space="0" w:color="auto"/>
              </w:divBdr>
              <w:divsChild>
                <w:div w:id="820926479">
                  <w:marLeft w:val="75"/>
                  <w:marRight w:val="75"/>
                  <w:marTop w:val="0"/>
                  <w:marBottom w:val="0"/>
                  <w:divBdr>
                    <w:top w:val="none" w:sz="0" w:space="0" w:color="auto"/>
                    <w:left w:val="none" w:sz="0" w:space="0" w:color="auto"/>
                    <w:bottom w:val="none" w:sz="0" w:space="0" w:color="auto"/>
                    <w:right w:val="none" w:sz="0" w:space="0" w:color="auto"/>
                  </w:divBdr>
                  <w:divsChild>
                    <w:div w:id="1148664197">
                      <w:marLeft w:val="0"/>
                      <w:marRight w:val="0"/>
                      <w:marTop w:val="0"/>
                      <w:marBottom w:val="0"/>
                      <w:divBdr>
                        <w:top w:val="none" w:sz="0" w:space="0" w:color="auto"/>
                        <w:left w:val="none" w:sz="0" w:space="0" w:color="auto"/>
                        <w:bottom w:val="none" w:sz="0" w:space="0" w:color="auto"/>
                        <w:right w:val="none" w:sz="0" w:space="0" w:color="auto"/>
                      </w:divBdr>
                      <w:divsChild>
                        <w:div w:id="220217920">
                          <w:marLeft w:val="0"/>
                          <w:marRight w:val="0"/>
                          <w:marTop w:val="0"/>
                          <w:marBottom w:val="0"/>
                          <w:divBdr>
                            <w:top w:val="none" w:sz="0" w:space="0" w:color="auto"/>
                            <w:left w:val="none" w:sz="0" w:space="0" w:color="auto"/>
                            <w:bottom w:val="none" w:sz="0" w:space="0" w:color="auto"/>
                            <w:right w:val="none" w:sz="0" w:space="0" w:color="auto"/>
                          </w:divBdr>
                        </w:div>
                        <w:div w:id="7638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99032">
      <w:bodyDiv w:val="1"/>
      <w:marLeft w:val="0"/>
      <w:marRight w:val="0"/>
      <w:marTop w:val="0"/>
      <w:marBottom w:val="0"/>
      <w:divBdr>
        <w:top w:val="none" w:sz="0" w:space="0" w:color="auto"/>
        <w:left w:val="none" w:sz="0" w:space="0" w:color="auto"/>
        <w:bottom w:val="none" w:sz="0" w:space="0" w:color="auto"/>
        <w:right w:val="none" w:sz="0" w:space="0" w:color="auto"/>
      </w:divBdr>
    </w:div>
    <w:div w:id="361328622">
      <w:bodyDiv w:val="1"/>
      <w:marLeft w:val="0"/>
      <w:marRight w:val="0"/>
      <w:marTop w:val="0"/>
      <w:marBottom w:val="0"/>
      <w:divBdr>
        <w:top w:val="none" w:sz="0" w:space="0" w:color="auto"/>
        <w:left w:val="none" w:sz="0" w:space="0" w:color="auto"/>
        <w:bottom w:val="none" w:sz="0" w:space="0" w:color="auto"/>
        <w:right w:val="none" w:sz="0" w:space="0" w:color="auto"/>
      </w:divBdr>
      <w:divsChild>
        <w:div w:id="1558861600">
          <w:marLeft w:val="0"/>
          <w:marRight w:val="0"/>
          <w:marTop w:val="0"/>
          <w:marBottom w:val="0"/>
          <w:divBdr>
            <w:top w:val="none" w:sz="0" w:space="0" w:color="auto"/>
            <w:left w:val="none" w:sz="0" w:space="0" w:color="auto"/>
            <w:bottom w:val="none" w:sz="0" w:space="0" w:color="auto"/>
            <w:right w:val="none" w:sz="0" w:space="0" w:color="auto"/>
          </w:divBdr>
          <w:divsChild>
            <w:div w:id="1673026322">
              <w:marLeft w:val="0"/>
              <w:marRight w:val="0"/>
              <w:marTop w:val="0"/>
              <w:marBottom w:val="0"/>
              <w:divBdr>
                <w:top w:val="none" w:sz="0" w:space="0" w:color="auto"/>
                <w:left w:val="none" w:sz="0" w:space="0" w:color="auto"/>
                <w:bottom w:val="none" w:sz="0" w:space="0" w:color="auto"/>
                <w:right w:val="none" w:sz="0" w:space="0" w:color="auto"/>
              </w:divBdr>
              <w:divsChild>
                <w:div w:id="41950646">
                  <w:marLeft w:val="0"/>
                  <w:marRight w:val="0"/>
                  <w:marTop w:val="0"/>
                  <w:marBottom w:val="0"/>
                  <w:divBdr>
                    <w:top w:val="none" w:sz="0" w:space="0" w:color="auto"/>
                    <w:left w:val="none" w:sz="0" w:space="0" w:color="auto"/>
                    <w:bottom w:val="none" w:sz="0" w:space="0" w:color="auto"/>
                    <w:right w:val="none" w:sz="0" w:space="0" w:color="auto"/>
                  </w:divBdr>
                  <w:divsChild>
                    <w:div w:id="1780251076">
                      <w:marLeft w:val="0"/>
                      <w:marRight w:val="0"/>
                      <w:marTop w:val="0"/>
                      <w:marBottom w:val="0"/>
                      <w:divBdr>
                        <w:top w:val="none" w:sz="0" w:space="0" w:color="auto"/>
                        <w:left w:val="none" w:sz="0" w:space="0" w:color="auto"/>
                        <w:bottom w:val="none" w:sz="0" w:space="0" w:color="auto"/>
                        <w:right w:val="none" w:sz="0" w:space="0" w:color="auto"/>
                      </w:divBdr>
                      <w:divsChild>
                        <w:div w:id="294793385">
                          <w:marLeft w:val="0"/>
                          <w:marRight w:val="0"/>
                          <w:marTop w:val="0"/>
                          <w:marBottom w:val="0"/>
                          <w:divBdr>
                            <w:top w:val="none" w:sz="0" w:space="0" w:color="auto"/>
                            <w:left w:val="none" w:sz="0" w:space="0" w:color="auto"/>
                            <w:bottom w:val="none" w:sz="0" w:space="0" w:color="auto"/>
                            <w:right w:val="none" w:sz="0" w:space="0" w:color="auto"/>
                          </w:divBdr>
                          <w:divsChild>
                            <w:div w:id="123502461">
                              <w:marLeft w:val="0"/>
                              <w:marRight w:val="0"/>
                              <w:marTop w:val="0"/>
                              <w:marBottom w:val="0"/>
                              <w:divBdr>
                                <w:top w:val="none" w:sz="0" w:space="0" w:color="auto"/>
                                <w:left w:val="none" w:sz="0" w:space="0" w:color="auto"/>
                                <w:bottom w:val="none" w:sz="0" w:space="0" w:color="auto"/>
                                <w:right w:val="none" w:sz="0" w:space="0" w:color="auto"/>
                              </w:divBdr>
                              <w:divsChild>
                                <w:div w:id="1447654612">
                                  <w:marLeft w:val="0"/>
                                  <w:marRight w:val="0"/>
                                  <w:marTop w:val="0"/>
                                  <w:marBottom w:val="0"/>
                                  <w:divBdr>
                                    <w:top w:val="none" w:sz="0" w:space="0" w:color="auto"/>
                                    <w:left w:val="none" w:sz="0" w:space="0" w:color="auto"/>
                                    <w:bottom w:val="none" w:sz="0" w:space="0" w:color="auto"/>
                                    <w:right w:val="none" w:sz="0" w:space="0" w:color="auto"/>
                                  </w:divBdr>
                                  <w:divsChild>
                                    <w:div w:id="588924234">
                                      <w:marLeft w:val="0"/>
                                      <w:marRight w:val="0"/>
                                      <w:marTop w:val="0"/>
                                      <w:marBottom w:val="0"/>
                                      <w:divBdr>
                                        <w:top w:val="none" w:sz="0" w:space="0" w:color="auto"/>
                                        <w:left w:val="none" w:sz="0" w:space="0" w:color="auto"/>
                                        <w:bottom w:val="none" w:sz="0" w:space="0" w:color="auto"/>
                                        <w:right w:val="none" w:sz="0" w:space="0" w:color="auto"/>
                                      </w:divBdr>
                                    </w:div>
                                    <w:div w:id="20745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499982">
      <w:bodyDiv w:val="1"/>
      <w:marLeft w:val="0"/>
      <w:marRight w:val="0"/>
      <w:marTop w:val="0"/>
      <w:marBottom w:val="0"/>
      <w:divBdr>
        <w:top w:val="none" w:sz="0" w:space="0" w:color="auto"/>
        <w:left w:val="none" w:sz="0" w:space="0" w:color="auto"/>
        <w:bottom w:val="none" w:sz="0" w:space="0" w:color="auto"/>
        <w:right w:val="none" w:sz="0" w:space="0" w:color="auto"/>
      </w:divBdr>
      <w:divsChild>
        <w:div w:id="274483342">
          <w:marLeft w:val="0"/>
          <w:marRight w:val="0"/>
          <w:marTop w:val="0"/>
          <w:marBottom w:val="0"/>
          <w:divBdr>
            <w:top w:val="none" w:sz="0" w:space="0" w:color="auto"/>
            <w:left w:val="none" w:sz="0" w:space="0" w:color="auto"/>
            <w:bottom w:val="none" w:sz="0" w:space="0" w:color="auto"/>
            <w:right w:val="none" w:sz="0" w:space="0" w:color="auto"/>
          </w:divBdr>
          <w:divsChild>
            <w:div w:id="823547780">
              <w:marLeft w:val="0"/>
              <w:marRight w:val="0"/>
              <w:marTop w:val="0"/>
              <w:marBottom w:val="0"/>
              <w:divBdr>
                <w:top w:val="none" w:sz="0" w:space="0" w:color="auto"/>
                <w:left w:val="none" w:sz="0" w:space="0" w:color="auto"/>
                <w:bottom w:val="none" w:sz="0" w:space="0" w:color="auto"/>
                <w:right w:val="none" w:sz="0" w:space="0" w:color="auto"/>
              </w:divBdr>
              <w:divsChild>
                <w:div w:id="1133988981">
                  <w:marLeft w:val="0"/>
                  <w:marRight w:val="0"/>
                  <w:marTop w:val="0"/>
                  <w:marBottom w:val="0"/>
                  <w:divBdr>
                    <w:top w:val="none" w:sz="0" w:space="0" w:color="auto"/>
                    <w:left w:val="none" w:sz="0" w:space="0" w:color="auto"/>
                    <w:bottom w:val="none" w:sz="0" w:space="0" w:color="auto"/>
                    <w:right w:val="none" w:sz="0" w:space="0" w:color="auto"/>
                  </w:divBdr>
                  <w:divsChild>
                    <w:div w:id="1290894550">
                      <w:marLeft w:val="0"/>
                      <w:marRight w:val="0"/>
                      <w:marTop w:val="0"/>
                      <w:marBottom w:val="0"/>
                      <w:divBdr>
                        <w:top w:val="none" w:sz="0" w:space="0" w:color="auto"/>
                        <w:left w:val="none" w:sz="0" w:space="0" w:color="auto"/>
                        <w:bottom w:val="none" w:sz="0" w:space="0" w:color="auto"/>
                        <w:right w:val="none" w:sz="0" w:space="0" w:color="auto"/>
                      </w:divBdr>
                      <w:divsChild>
                        <w:div w:id="780345014">
                          <w:marLeft w:val="0"/>
                          <w:marRight w:val="0"/>
                          <w:marTop w:val="0"/>
                          <w:marBottom w:val="0"/>
                          <w:divBdr>
                            <w:top w:val="none" w:sz="0" w:space="0" w:color="auto"/>
                            <w:left w:val="none" w:sz="0" w:space="0" w:color="auto"/>
                            <w:bottom w:val="none" w:sz="0" w:space="0" w:color="auto"/>
                            <w:right w:val="none" w:sz="0" w:space="0" w:color="auto"/>
                          </w:divBdr>
                          <w:divsChild>
                            <w:div w:id="1981416740">
                              <w:marLeft w:val="0"/>
                              <w:marRight w:val="0"/>
                              <w:marTop w:val="0"/>
                              <w:marBottom w:val="0"/>
                              <w:divBdr>
                                <w:top w:val="none" w:sz="0" w:space="0" w:color="auto"/>
                                <w:left w:val="none" w:sz="0" w:space="0" w:color="auto"/>
                                <w:bottom w:val="none" w:sz="0" w:space="0" w:color="auto"/>
                                <w:right w:val="none" w:sz="0" w:space="0" w:color="auto"/>
                              </w:divBdr>
                              <w:divsChild>
                                <w:div w:id="507333590">
                                  <w:marLeft w:val="0"/>
                                  <w:marRight w:val="0"/>
                                  <w:marTop w:val="0"/>
                                  <w:marBottom w:val="0"/>
                                  <w:divBdr>
                                    <w:top w:val="none" w:sz="0" w:space="0" w:color="auto"/>
                                    <w:left w:val="none" w:sz="0" w:space="0" w:color="auto"/>
                                    <w:bottom w:val="none" w:sz="0" w:space="0" w:color="auto"/>
                                    <w:right w:val="none" w:sz="0" w:space="0" w:color="auto"/>
                                  </w:divBdr>
                                  <w:divsChild>
                                    <w:div w:id="192773907">
                                      <w:marLeft w:val="0"/>
                                      <w:marRight w:val="0"/>
                                      <w:marTop w:val="0"/>
                                      <w:marBottom w:val="0"/>
                                      <w:divBdr>
                                        <w:top w:val="none" w:sz="0" w:space="0" w:color="auto"/>
                                        <w:left w:val="none" w:sz="0" w:space="0" w:color="auto"/>
                                        <w:bottom w:val="none" w:sz="0" w:space="0" w:color="auto"/>
                                        <w:right w:val="none" w:sz="0" w:space="0" w:color="auto"/>
                                      </w:divBdr>
                                    </w:div>
                                    <w:div w:id="7768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74110">
      <w:bodyDiv w:val="1"/>
      <w:marLeft w:val="0"/>
      <w:marRight w:val="0"/>
      <w:marTop w:val="0"/>
      <w:marBottom w:val="0"/>
      <w:divBdr>
        <w:top w:val="none" w:sz="0" w:space="0" w:color="auto"/>
        <w:left w:val="none" w:sz="0" w:space="0" w:color="auto"/>
        <w:bottom w:val="none" w:sz="0" w:space="0" w:color="auto"/>
        <w:right w:val="none" w:sz="0" w:space="0" w:color="auto"/>
      </w:divBdr>
      <w:divsChild>
        <w:div w:id="1564171148">
          <w:marLeft w:val="0"/>
          <w:marRight w:val="0"/>
          <w:marTop w:val="0"/>
          <w:marBottom w:val="0"/>
          <w:divBdr>
            <w:top w:val="none" w:sz="0" w:space="0" w:color="auto"/>
            <w:left w:val="none" w:sz="0" w:space="0" w:color="auto"/>
            <w:bottom w:val="none" w:sz="0" w:space="0" w:color="auto"/>
            <w:right w:val="none" w:sz="0" w:space="0" w:color="auto"/>
          </w:divBdr>
          <w:divsChild>
            <w:div w:id="434979954">
              <w:marLeft w:val="0"/>
              <w:marRight w:val="0"/>
              <w:marTop w:val="0"/>
              <w:marBottom w:val="0"/>
              <w:divBdr>
                <w:top w:val="none" w:sz="0" w:space="0" w:color="auto"/>
                <w:left w:val="none" w:sz="0" w:space="0" w:color="auto"/>
                <w:bottom w:val="none" w:sz="0" w:space="0" w:color="auto"/>
                <w:right w:val="none" w:sz="0" w:space="0" w:color="auto"/>
              </w:divBdr>
              <w:divsChild>
                <w:div w:id="834222722">
                  <w:marLeft w:val="0"/>
                  <w:marRight w:val="0"/>
                  <w:marTop w:val="0"/>
                  <w:marBottom w:val="0"/>
                  <w:divBdr>
                    <w:top w:val="none" w:sz="0" w:space="0" w:color="auto"/>
                    <w:left w:val="none" w:sz="0" w:space="0" w:color="auto"/>
                    <w:bottom w:val="none" w:sz="0" w:space="0" w:color="auto"/>
                    <w:right w:val="none" w:sz="0" w:space="0" w:color="auto"/>
                  </w:divBdr>
                  <w:divsChild>
                    <w:div w:id="293948182">
                      <w:marLeft w:val="0"/>
                      <w:marRight w:val="0"/>
                      <w:marTop w:val="0"/>
                      <w:marBottom w:val="0"/>
                      <w:divBdr>
                        <w:top w:val="none" w:sz="0" w:space="0" w:color="auto"/>
                        <w:left w:val="none" w:sz="0" w:space="0" w:color="auto"/>
                        <w:bottom w:val="none" w:sz="0" w:space="0" w:color="auto"/>
                        <w:right w:val="none" w:sz="0" w:space="0" w:color="auto"/>
                      </w:divBdr>
                      <w:divsChild>
                        <w:div w:id="438187145">
                          <w:marLeft w:val="0"/>
                          <w:marRight w:val="0"/>
                          <w:marTop w:val="0"/>
                          <w:marBottom w:val="0"/>
                          <w:divBdr>
                            <w:top w:val="none" w:sz="0" w:space="0" w:color="auto"/>
                            <w:left w:val="none" w:sz="0" w:space="0" w:color="auto"/>
                            <w:bottom w:val="none" w:sz="0" w:space="0" w:color="auto"/>
                            <w:right w:val="none" w:sz="0" w:space="0" w:color="auto"/>
                          </w:divBdr>
                          <w:divsChild>
                            <w:div w:id="1515417518">
                              <w:marLeft w:val="0"/>
                              <w:marRight w:val="0"/>
                              <w:marTop w:val="0"/>
                              <w:marBottom w:val="0"/>
                              <w:divBdr>
                                <w:top w:val="none" w:sz="0" w:space="0" w:color="auto"/>
                                <w:left w:val="none" w:sz="0" w:space="0" w:color="auto"/>
                                <w:bottom w:val="none" w:sz="0" w:space="0" w:color="auto"/>
                                <w:right w:val="none" w:sz="0" w:space="0" w:color="auto"/>
                              </w:divBdr>
                              <w:divsChild>
                                <w:div w:id="1513567358">
                                  <w:marLeft w:val="0"/>
                                  <w:marRight w:val="0"/>
                                  <w:marTop w:val="0"/>
                                  <w:marBottom w:val="0"/>
                                  <w:divBdr>
                                    <w:top w:val="none" w:sz="0" w:space="0" w:color="auto"/>
                                    <w:left w:val="none" w:sz="0" w:space="0" w:color="auto"/>
                                    <w:bottom w:val="none" w:sz="0" w:space="0" w:color="auto"/>
                                    <w:right w:val="none" w:sz="0" w:space="0" w:color="auto"/>
                                  </w:divBdr>
                                  <w:divsChild>
                                    <w:div w:id="1791512060">
                                      <w:marLeft w:val="0"/>
                                      <w:marRight w:val="0"/>
                                      <w:marTop w:val="0"/>
                                      <w:marBottom w:val="0"/>
                                      <w:divBdr>
                                        <w:top w:val="none" w:sz="0" w:space="0" w:color="auto"/>
                                        <w:left w:val="none" w:sz="0" w:space="0" w:color="auto"/>
                                        <w:bottom w:val="none" w:sz="0" w:space="0" w:color="auto"/>
                                        <w:right w:val="none" w:sz="0" w:space="0" w:color="auto"/>
                                      </w:divBdr>
                                      <w:divsChild>
                                        <w:div w:id="1194079111">
                                          <w:marLeft w:val="0"/>
                                          <w:marRight w:val="0"/>
                                          <w:marTop w:val="0"/>
                                          <w:marBottom w:val="0"/>
                                          <w:divBdr>
                                            <w:top w:val="none" w:sz="0" w:space="0" w:color="auto"/>
                                            <w:left w:val="none" w:sz="0" w:space="0" w:color="auto"/>
                                            <w:bottom w:val="none" w:sz="0" w:space="0" w:color="auto"/>
                                            <w:right w:val="none" w:sz="0" w:space="0" w:color="auto"/>
                                          </w:divBdr>
                                          <w:divsChild>
                                            <w:div w:id="5774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393024">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sChild>
        <w:div w:id="175653850">
          <w:marLeft w:val="0"/>
          <w:marRight w:val="0"/>
          <w:marTop w:val="0"/>
          <w:marBottom w:val="0"/>
          <w:divBdr>
            <w:top w:val="none" w:sz="0" w:space="0" w:color="auto"/>
            <w:left w:val="none" w:sz="0" w:space="0" w:color="auto"/>
            <w:bottom w:val="none" w:sz="0" w:space="0" w:color="auto"/>
            <w:right w:val="none" w:sz="0" w:space="0" w:color="auto"/>
          </w:divBdr>
          <w:divsChild>
            <w:div w:id="528301521">
              <w:marLeft w:val="0"/>
              <w:marRight w:val="0"/>
              <w:marTop w:val="0"/>
              <w:marBottom w:val="0"/>
              <w:divBdr>
                <w:top w:val="none" w:sz="0" w:space="0" w:color="auto"/>
                <w:left w:val="none" w:sz="0" w:space="0" w:color="auto"/>
                <w:bottom w:val="none" w:sz="0" w:space="0" w:color="auto"/>
                <w:right w:val="none" w:sz="0" w:space="0" w:color="auto"/>
              </w:divBdr>
              <w:divsChild>
                <w:div w:id="742215656">
                  <w:marLeft w:val="0"/>
                  <w:marRight w:val="0"/>
                  <w:marTop w:val="0"/>
                  <w:marBottom w:val="0"/>
                  <w:divBdr>
                    <w:top w:val="none" w:sz="0" w:space="0" w:color="auto"/>
                    <w:left w:val="none" w:sz="0" w:space="0" w:color="auto"/>
                    <w:bottom w:val="none" w:sz="0" w:space="0" w:color="auto"/>
                    <w:right w:val="none" w:sz="0" w:space="0" w:color="auto"/>
                  </w:divBdr>
                  <w:divsChild>
                    <w:div w:id="1785685424">
                      <w:marLeft w:val="0"/>
                      <w:marRight w:val="0"/>
                      <w:marTop w:val="0"/>
                      <w:marBottom w:val="0"/>
                      <w:divBdr>
                        <w:top w:val="none" w:sz="0" w:space="0" w:color="auto"/>
                        <w:left w:val="none" w:sz="0" w:space="0" w:color="auto"/>
                        <w:bottom w:val="none" w:sz="0" w:space="0" w:color="auto"/>
                        <w:right w:val="none" w:sz="0" w:space="0" w:color="auto"/>
                      </w:divBdr>
                      <w:divsChild>
                        <w:div w:id="396559897">
                          <w:marLeft w:val="0"/>
                          <w:marRight w:val="0"/>
                          <w:marTop w:val="0"/>
                          <w:marBottom w:val="0"/>
                          <w:divBdr>
                            <w:top w:val="none" w:sz="0" w:space="0" w:color="auto"/>
                            <w:left w:val="none" w:sz="0" w:space="0" w:color="auto"/>
                            <w:bottom w:val="none" w:sz="0" w:space="0" w:color="auto"/>
                            <w:right w:val="none" w:sz="0" w:space="0" w:color="auto"/>
                          </w:divBdr>
                          <w:divsChild>
                            <w:div w:id="525871151">
                              <w:marLeft w:val="0"/>
                              <w:marRight w:val="0"/>
                              <w:marTop w:val="0"/>
                              <w:marBottom w:val="0"/>
                              <w:divBdr>
                                <w:top w:val="none" w:sz="0" w:space="0" w:color="auto"/>
                                <w:left w:val="none" w:sz="0" w:space="0" w:color="auto"/>
                                <w:bottom w:val="none" w:sz="0" w:space="0" w:color="auto"/>
                                <w:right w:val="none" w:sz="0" w:space="0" w:color="auto"/>
                              </w:divBdr>
                              <w:divsChild>
                                <w:div w:id="290135600">
                                  <w:marLeft w:val="0"/>
                                  <w:marRight w:val="0"/>
                                  <w:marTop w:val="0"/>
                                  <w:marBottom w:val="0"/>
                                  <w:divBdr>
                                    <w:top w:val="none" w:sz="0" w:space="0" w:color="auto"/>
                                    <w:left w:val="none" w:sz="0" w:space="0" w:color="auto"/>
                                    <w:bottom w:val="none" w:sz="0" w:space="0" w:color="auto"/>
                                    <w:right w:val="none" w:sz="0" w:space="0" w:color="auto"/>
                                  </w:divBdr>
                                  <w:divsChild>
                                    <w:div w:id="1819571118">
                                      <w:marLeft w:val="0"/>
                                      <w:marRight w:val="0"/>
                                      <w:marTop w:val="0"/>
                                      <w:marBottom w:val="0"/>
                                      <w:divBdr>
                                        <w:top w:val="none" w:sz="0" w:space="0" w:color="auto"/>
                                        <w:left w:val="none" w:sz="0" w:space="0" w:color="auto"/>
                                        <w:bottom w:val="none" w:sz="0" w:space="0" w:color="auto"/>
                                        <w:right w:val="none" w:sz="0" w:space="0" w:color="auto"/>
                                      </w:divBdr>
                                    </w:div>
                                    <w:div w:id="21420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84328">
      <w:bodyDiv w:val="1"/>
      <w:marLeft w:val="0"/>
      <w:marRight w:val="0"/>
      <w:marTop w:val="0"/>
      <w:marBottom w:val="0"/>
      <w:divBdr>
        <w:top w:val="none" w:sz="0" w:space="0" w:color="auto"/>
        <w:left w:val="none" w:sz="0" w:space="0" w:color="auto"/>
        <w:bottom w:val="none" w:sz="0" w:space="0" w:color="auto"/>
        <w:right w:val="none" w:sz="0" w:space="0" w:color="auto"/>
      </w:divBdr>
      <w:divsChild>
        <w:div w:id="1358897115">
          <w:marLeft w:val="0"/>
          <w:marRight w:val="0"/>
          <w:marTop w:val="0"/>
          <w:marBottom w:val="0"/>
          <w:divBdr>
            <w:top w:val="none" w:sz="0" w:space="0" w:color="auto"/>
            <w:left w:val="none" w:sz="0" w:space="0" w:color="auto"/>
            <w:bottom w:val="none" w:sz="0" w:space="0" w:color="auto"/>
            <w:right w:val="none" w:sz="0" w:space="0" w:color="auto"/>
          </w:divBdr>
          <w:divsChild>
            <w:div w:id="2063601717">
              <w:marLeft w:val="0"/>
              <w:marRight w:val="0"/>
              <w:marTop w:val="0"/>
              <w:marBottom w:val="0"/>
              <w:divBdr>
                <w:top w:val="none" w:sz="0" w:space="0" w:color="auto"/>
                <w:left w:val="none" w:sz="0" w:space="0" w:color="auto"/>
                <w:bottom w:val="none" w:sz="0" w:space="0" w:color="auto"/>
                <w:right w:val="none" w:sz="0" w:space="0" w:color="auto"/>
              </w:divBdr>
              <w:divsChild>
                <w:div w:id="859053722">
                  <w:marLeft w:val="0"/>
                  <w:marRight w:val="0"/>
                  <w:marTop w:val="0"/>
                  <w:marBottom w:val="0"/>
                  <w:divBdr>
                    <w:top w:val="none" w:sz="0" w:space="0" w:color="auto"/>
                    <w:left w:val="none" w:sz="0" w:space="0" w:color="auto"/>
                    <w:bottom w:val="none" w:sz="0" w:space="0" w:color="auto"/>
                    <w:right w:val="none" w:sz="0" w:space="0" w:color="auto"/>
                  </w:divBdr>
                  <w:divsChild>
                    <w:div w:id="2130005259">
                      <w:marLeft w:val="0"/>
                      <w:marRight w:val="0"/>
                      <w:marTop w:val="0"/>
                      <w:marBottom w:val="0"/>
                      <w:divBdr>
                        <w:top w:val="none" w:sz="0" w:space="0" w:color="auto"/>
                        <w:left w:val="none" w:sz="0" w:space="0" w:color="auto"/>
                        <w:bottom w:val="none" w:sz="0" w:space="0" w:color="auto"/>
                        <w:right w:val="none" w:sz="0" w:space="0" w:color="auto"/>
                      </w:divBdr>
                      <w:divsChild>
                        <w:div w:id="727918494">
                          <w:marLeft w:val="0"/>
                          <w:marRight w:val="0"/>
                          <w:marTop w:val="0"/>
                          <w:marBottom w:val="0"/>
                          <w:divBdr>
                            <w:top w:val="none" w:sz="0" w:space="0" w:color="auto"/>
                            <w:left w:val="none" w:sz="0" w:space="0" w:color="auto"/>
                            <w:bottom w:val="none" w:sz="0" w:space="0" w:color="auto"/>
                            <w:right w:val="none" w:sz="0" w:space="0" w:color="auto"/>
                          </w:divBdr>
                          <w:divsChild>
                            <w:div w:id="1295865196">
                              <w:marLeft w:val="0"/>
                              <w:marRight w:val="0"/>
                              <w:marTop w:val="0"/>
                              <w:marBottom w:val="0"/>
                              <w:divBdr>
                                <w:top w:val="none" w:sz="0" w:space="0" w:color="auto"/>
                                <w:left w:val="none" w:sz="0" w:space="0" w:color="auto"/>
                                <w:bottom w:val="none" w:sz="0" w:space="0" w:color="auto"/>
                                <w:right w:val="none" w:sz="0" w:space="0" w:color="auto"/>
                              </w:divBdr>
                              <w:divsChild>
                                <w:div w:id="515076696">
                                  <w:marLeft w:val="0"/>
                                  <w:marRight w:val="0"/>
                                  <w:marTop w:val="0"/>
                                  <w:marBottom w:val="0"/>
                                  <w:divBdr>
                                    <w:top w:val="none" w:sz="0" w:space="0" w:color="auto"/>
                                    <w:left w:val="none" w:sz="0" w:space="0" w:color="auto"/>
                                    <w:bottom w:val="none" w:sz="0" w:space="0" w:color="auto"/>
                                    <w:right w:val="none" w:sz="0" w:space="0" w:color="auto"/>
                                  </w:divBdr>
                                  <w:divsChild>
                                    <w:div w:id="118768849">
                                      <w:marLeft w:val="0"/>
                                      <w:marRight w:val="0"/>
                                      <w:marTop w:val="0"/>
                                      <w:marBottom w:val="0"/>
                                      <w:divBdr>
                                        <w:top w:val="none" w:sz="0" w:space="0" w:color="auto"/>
                                        <w:left w:val="none" w:sz="0" w:space="0" w:color="auto"/>
                                        <w:bottom w:val="none" w:sz="0" w:space="0" w:color="auto"/>
                                        <w:right w:val="none" w:sz="0" w:space="0" w:color="auto"/>
                                      </w:divBdr>
                                    </w:div>
                                    <w:div w:id="12915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486925">
      <w:bodyDiv w:val="1"/>
      <w:marLeft w:val="0"/>
      <w:marRight w:val="0"/>
      <w:marTop w:val="0"/>
      <w:marBottom w:val="0"/>
      <w:divBdr>
        <w:top w:val="none" w:sz="0" w:space="0" w:color="auto"/>
        <w:left w:val="none" w:sz="0" w:space="0" w:color="auto"/>
        <w:bottom w:val="none" w:sz="0" w:space="0" w:color="auto"/>
        <w:right w:val="none" w:sz="0" w:space="0" w:color="auto"/>
      </w:divBdr>
      <w:divsChild>
        <w:div w:id="50616888">
          <w:marLeft w:val="360"/>
          <w:marRight w:val="0"/>
          <w:marTop w:val="96"/>
          <w:marBottom w:val="0"/>
          <w:divBdr>
            <w:top w:val="none" w:sz="0" w:space="0" w:color="auto"/>
            <w:left w:val="none" w:sz="0" w:space="0" w:color="auto"/>
            <w:bottom w:val="none" w:sz="0" w:space="0" w:color="auto"/>
            <w:right w:val="none" w:sz="0" w:space="0" w:color="auto"/>
          </w:divBdr>
        </w:div>
      </w:divsChild>
    </w:div>
    <w:div w:id="947932210">
      <w:bodyDiv w:val="1"/>
      <w:marLeft w:val="0"/>
      <w:marRight w:val="0"/>
      <w:marTop w:val="0"/>
      <w:marBottom w:val="0"/>
      <w:divBdr>
        <w:top w:val="none" w:sz="0" w:space="0" w:color="auto"/>
        <w:left w:val="none" w:sz="0" w:space="0" w:color="auto"/>
        <w:bottom w:val="none" w:sz="0" w:space="0" w:color="auto"/>
        <w:right w:val="none" w:sz="0" w:space="0" w:color="auto"/>
      </w:divBdr>
      <w:divsChild>
        <w:div w:id="1760515269">
          <w:marLeft w:val="0"/>
          <w:marRight w:val="0"/>
          <w:marTop w:val="0"/>
          <w:marBottom w:val="0"/>
          <w:divBdr>
            <w:top w:val="none" w:sz="0" w:space="0" w:color="auto"/>
            <w:left w:val="none" w:sz="0" w:space="0" w:color="auto"/>
            <w:bottom w:val="none" w:sz="0" w:space="0" w:color="auto"/>
            <w:right w:val="none" w:sz="0" w:space="0" w:color="auto"/>
          </w:divBdr>
          <w:divsChild>
            <w:div w:id="618685209">
              <w:marLeft w:val="0"/>
              <w:marRight w:val="-300"/>
              <w:marTop w:val="0"/>
              <w:marBottom w:val="0"/>
              <w:divBdr>
                <w:top w:val="none" w:sz="0" w:space="0" w:color="auto"/>
                <w:left w:val="none" w:sz="0" w:space="0" w:color="auto"/>
                <w:bottom w:val="none" w:sz="0" w:space="0" w:color="auto"/>
                <w:right w:val="none" w:sz="0" w:space="0" w:color="auto"/>
              </w:divBdr>
              <w:divsChild>
                <w:div w:id="802891619">
                  <w:marLeft w:val="75"/>
                  <w:marRight w:val="75"/>
                  <w:marTop w:val="0"/>
                  <w:marBottom w:val="0"/>
                  <w:divBdr>
                    <w:top w:val="none" w:sz="0" w:space="0" w:color="auto"/>
                    <w:left w:val="none" w:sz="0" w:space="0" w:color="auto"/>
                    <w:bottom w:val="none" w:sz="0" w:space="0" w:color="auto"/>
                    <w:right w:val="none" w:sz="0" w:space="0" w:color="auto"/>
                  </w:divBdr>
                  <w:divsChild>
                    <w:div w:id="557939338">
                      <w:marLeft w:val="0"/>
                      <w:marRight w:val="0"/>
                      <w:marTop w:val="0"/>
                      <w:marBottom w:val="0"/>
                      <w:divBdr>
                        <w:top w:val="none" w:sz="0" w:space="0" w:color="auto"/>
                        <w:left w:val="none" w:sz="0" w:space="0" w:color="auto"/>
                        <w:bottom w:val="none" w:sz="0" w:space="0" w:color="auto"/>
                        <w:right w:val="none" w:sz="0" w:space="0" w:color="auto"/>
                      </w:divBdr>
                      <w:divsChild>
                        <w:div w:id="1096369888">
                          <w:marLeft w:val="0"/>
                          <w:marRight w:val="0"/>
                          <w:marTop w:val="0"/>
                          <w:marBottom w:val="0"/>
                          <w:divBdr>
                            <w:top w:val="none" w:sz="0" w:space="0" w:color="auto"/>
                            <w:left w:val="none" w:sz="0" w:space="0" w:color="auto"/>
                            <w:bottom w:val="none" w:sz="0" w:space="0" w:color="auto"/>
                            <w:right w:val="none" w:sz="0" w:space="0" w:color="auto"/>
                          </w:divBdr>
                        </w:div>
                        <w:div w:id="16547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436786">
      <w:bodyDiv w:val="1"/>
      <w:marLeft w:val="0"/>
      <w:marRight w:val="0"/>
      <w:marTop w:val="0"/>
      <w:marBottom w:val="0"/>
      <w:divBdr>
        <w:top w:val="none" w:sz="0" w:space="0" w:color="auto"/>
        <w:left w:val="none" w:sz="0" w:space="0" w:color="auto"/>
        <w:bottom w:val="none" w:sz="0" w:space="0" w:color="auto"/>
        <w:right w:val="none" w:sz="0" w:space="0" w:color="auto"/>
      </w:divBdr>
      <w:divsChild>
        <w:div w:id="2134473545">
          <w:marLeft w:val="0"/>
          <w:marRight w:val="0"/>
          <w:marTop w:val="0"/>
          <w:marBottom w:val="0"/>
          <w:divBdr>
            <w:top w:val="none" w:sz="0" w:space="0" w:color="auto"/>
            <w:left w:val="none" w:sz="0" w:space="0" w:color="auto"/>
            <w:bottom w:val="none" w:sz="0" w:space="0" w:color="auto"/>
            <w:right w:val="none" w:sz="0" w:space="0" w:color="auto"/>
          </w:divBdr>
          <w:divsChild>
            <w:div w:id="1762293551">
              <w:marLeft w:val="0"/>
              <w:marRight w:val="0"/>
              <w:marTop w:val="0"/>
              <w:marBottom w:val="0"/>
              <w:divBdr>
                <w:top w:val="none" w:sz="0" w:space="0" w:color="auto"/>
                <w:left w:val="none" w:sz="0" w:space="0" w:color="auto"/>
                <w:bottom w:val="none" w:sz="0" w:space="0" w:color="auto"/>
                <w:right w:val="none" w:sz="0" w:space="0" w:color="auto"/>
              </w:divBdr>
              <w:divsChild>
                <w:div w:id="891159888">
                  <w:marLeft w:val="0"/>
                  <w:marRight w:val="0"/>
                  <w:marTop w:val="0"/>
                  <w:marBottom w:val="0"/>
                  <w:divBdr>
                    <w:top w:val="none" w:sz="0" w:space="0" w:color="auto"/>
                    <w:left w:val="none" w:sz="0" w:space="0" w:color="auto"/>
                    <w:bottom w:val="none" w:sz="0" w:space="0" w:color="auto"/>
                    <w:right w:val="none" w:sz="0" w:space="0" w:color="auto"/>
                  </w:divBdr>
                  <w:divsChild>
                    <w:div w:id="180319752">
                      <w:marLeft w:val="0"/>
                      <w:marRight w:val="0"/>
                      <w:marTop w:val="0"/>
                      <w:marBottom w:val="0"/>
                      <w:divBdr>
                        <w:top w:val="none" w:sz="0" w:space="0" w:color="auto"/>
                        <w:left w:val="none" w:sz="0" w:space="0" w:color="auto"/>
                        <w:bottom w:val="none" w:sz="0" w:space="0" w:color="auto"/>
                        <w:right w:val="none" w:sz="0" w:space="0" w:color="auto"/>
                      </w:divBdr>
                      <w:divsChild>
                        <w:div w:id="1541748216">
                          <w:marLeft w:val="0"/>
                          <w:marRight w:val="0"/>
                          <w:marTop w:val="45"/>
                          <w:marBottom w:val="0"/>
                          <w:divBdr>
                            <w:top w:val="none" w:sz="0" w:space="0" w:color="auto"/>
                            <w:left w:val="none" w:sz="0" w:space="0" w:color="auto"/>
                            <w:bottom w:val="none" w:sz="0" w:space="0" w:color="auto"/>
                            <w:right w:val="none" w:sz="0" w:space="0" w:color="auto"/>
                          </w:divBdr>
                          <w:divsChild>
                            <w:div w:id="1992245452">
                              <w:marLeft w:val="2070"/>
                              <w:marRight w:val="3810"/>
                              <w:marTop w:val="0"/>
                              <w:marBottom w:val="0"/>
                              <w:divBdr>
                                <w:top w:val="none" w:sz="0" w:space="0" w:color="auto"/>
                                <w:left w:val="none" w:sz="0" w:space="0" w:color="auto"/>
                                <w:bottom w:val="none" w:sz="0" w:space="0" w:color="auto"/>
                                <w:right w:val="none" w:sz="0" w:space="0" w:color="auto"/>
                              </w:divBdr>
                              <w:divsChild>
                                <w:div w:id="2118206829">
                                  <w:marLeft w:val="0"/>
                                  <w:marRight w:val="0"/>
                                  <w:marTop w:val="0"/>
                                  <w:marBottom w:val="0"/>
                                  <w:divBdr>
                                    <w:top w:val="none" w:sz="0" w:space="0" w:color="auto"/>
                                    <w:left w:val="none" w:sz="0" w:space="0" w:color="auto"/>
                                    <w:bottom w:val="none" w:sz="0" w:space="0" w:color="auto"/>
                                    <w:right w:val="none" w:sz="0" w:space="0" w:color="auto"/>
                                  </w:divBdr>
                                  <w:divsChild>
                                    <w:div w:id="86006960">
                                      <w:marLeft w:val="0"/>
                                      <w:marRight w:val="0"/>
                                      <w:marTop w:val="0"/>
                                      <w:marBottom w:val="0"/>
                                      <w:divBdr>
                                        <w:top w:val="none" w:sz="0" w:space="0" w:color="auto"/>
                                        <w:left w:val="none" w:sz="0" w:space="0" w:color="auto"/>
                                        <w:bottom w:val="none" w:sz="0" w:space="0" w:color="auto"/>
                                        <w:right w:val="none" w:sz="0" w:space="0" w:color="auto"/>
                                      </w:divBdr>
                                      <w:divsChild>
                                        <w:div w:id="1367831613">
                                          <w:marLeft w:val="0"/>
                                          <w:marRight w:val="0"/>
                                          <w:marTop w:val="0"/>
                                          <w:marBottom w:val="0"/>
                                          <w:divBdr>
                                            <w:top w:val="none" w:sz="0" w:space="0" w:color="auto"/>
                                            <w:left w:val="none" w:sz="0" w:space="0" w:color="auto"/>
                                            <w:bottom w:val="none" w:sz="0" w:space="0" w:color="auto"/>
                                            <w:right w:val="none" w:sz="0" w:space="0" w:color="auto"/>
                                          </w:divBdr>
                                          <w:divsChild>
                                            <w:div w:id="414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929217">
      <w:bodyDiv w:val="1"/>
      <w:marLeft w:val="0"/>
      <w:marRight w:val="0"/>
      <w:marTop w:val="0"/>
      <w:marBottom w:val="0"/>
      <w:divBdr>
        <w:top w:val="none" w:sz="0" w:space="0" w:color="auto"/>
        <w:left w:val="none" w:sz="0" w:space="0" w:color="auto"/>
        <w:bottom w:val="none" w:sz="0" w:space="0" w:color="auto"/>
        <w:right w:val="none" w:sz="0" w:space="0" w:color="auto"/>
      </w:divBdr>
      <w:divsChild>
        <w:div w:id="1672103672">
          <w:marLeft w:val="0"/>
          <w:marRight w:val="0"/>
          <w:marTop w:val="0"/>
          <w:marBottom w:val="0"/>
          <w:divBdr>
            <w:top w:val="none" w:sz="0" w:space="0" w:color="auto"/>
            <w:left w:val="none" w:sz="0" w:space="0" w:color="auto"/>
            <w:bottom w:val="none" w:sz="0" w:space="0" w:color="auto"/>
            <w:right w:val="none" w:sz="0" w:space="0" w:color="auto"/>
          </w:divBdr>
          <w:divsChild>
            <w:div w:id="1824159802">
              <w:marLeft w:val="0"/>
              <w:marRight w:val="0"/>
              <w:marTop w:val="0"/>
              <w:marBottom w:val="0"/>
              <w:divBdr>
                <w:top w:val="none" w:sz="0" w:space="0" w:color="auto"/>
                <w:left w:val="none" w:sz="0" w:space="0" w:color="auto"/>
                <w:bottom w:val="none" w:sz="0" w:space="0" w:color="auto"/>
                <w:right w:val="none" w:sz="0" w:space="0" w:color="auto"/>
              </w:divBdr>
              <w:divsChild>
                <w:div w:id="1415082385">
                  <w:marLeft w:val="0"/>
                  <w:marRight w:val="0"/>
                  <w:marTop w:val="0"/>
                  <w:marBottom w:val="0"/>
                  <w:divBdr>
                    <w:top w:val="none" w:sz="0" w:space="0" w:color="auto"/>
                    <w:left w:val="none" w:sz="0" w:space="0" w:color="auto"/>
                    <w:bottom w:val="none" w:sz="0" w:space="0" w:color="auto"/>
                    <w:right w:val="none" w:sz="0" w:space="0" w:color="auto"/>
                  </w:divBdr>
                  <w:divsChild>
                    <w:div w:id="1296911334">
                      <w:marLeft w:val="0"/>
                      <w:marRight w:val="0"/>
                      <w:marTop w:val="0"/>
                      <w:marBottom w:val="0"/>
                      <w:divBdr>
                        <w:top w:val="none" w:sz="0" w:space="0" w:color="auto"/>
                        <w:left w:val="none" w:sz="0" w:space="0" w:color="auto"/>
                        <w:bottom w:val="none" w:sz="0" w:space="0" w:color="auto"/>
                        <w:right w:val="none" w:sz="0" w:space="0" w:color="auto"/>
                      </w:divBdr>
                      <w:divsChild>
                        <w:div w:id="1685865449">
                          <w:marLeft w:val="0"/>
                          <w:marRight w:val="3675"/>
                          <w:marTop w:val="0"/>
                          <w:marBottom w:val="0"/>
                          <w:divBdr>
                            <w:top w:val="none" w:sz="0" w:space="0" w:color="auto"/>
                            <w:left w:val="none" w:sz="0" w:space="0" w:color="auto"/>
                            <w:bottom w:val="none" w:sz="0" w:space="0" w:color="auto"/>
                            <w:right w:val="none" w:sz="0" w:space="0" w:color="auto"/>
                          </w:divBdr>
                          <w:divsChild>
                            <w:div w:id="1018308293">
                              <w:marLeft w:val="0"/>
                              <w:marRight w:val="0"/>
                              <w:marTop w:val="0"/>
                              <w:marBottom w:val="0"/>
                              <w:divBdr>
                                <w:top w:val="none" w:sz="0" w:space="0" w:color="auto"/>
                                <w:left w:val="none" w:sz="0" w:space="0" w:color="auto"/>
                                <w:bottom w:val="none" w:sz="0" w:space="0" w:color="auto"/>
                                <w:right w:val="none" w:sz="0" w:space="0" w:color="auto"/>
                              </w:divBdr>
                              <w:divsChild>
                                <w:div w:id="187718060">
                                  <w:marLeft w:val="0"/>
                                  <w:marRight w:val="0"/>
                                  <w:marTop w:val="75"/>
                                  <w:marBottom w:val="0"/>
                                  <w:divBdr>
                                    <w:top w:val="none" w:sz="0" w:space="0" w:color="auto"/>
                                    <w:left w:val="none" w:sz="0" w:space="0" w:color="auto"/>
                                    <w:bottom w:val="none" w:sz="0" w:space="0" w:color="auto"/>
                                    <w:right w:val="none" w:sz="0" w:space="0" w:color="auto"/>
                                  </w:divBdr>
                                  <w:divsChild>
                                    <w:div w:id="210465240">
                                      <w:marLeft w:val="0"/>
                                      <w:marRight w:val="0"/>
                                      <w:marTop w:val="0"/>
                                      <w:marBottom w:val="0"/>
                                      <w:divBdr>
                                        <w:top w:val="none" w:sz="0" w:space="0" w:color="auto"/>
                                        <w:left w:val="none" w:sz="0" w:space="0" w:color="auto"/>
                                        <w:bottom w:val="none" w:sz="0" w:space="0" w:color="auto"/>
                                        <w:right w:val="none" w:sz="0" w:space="0" w:color="auto"/>
                                      </w:divBdr>
                                      <w:divsChild>
                                        <w:div w:id="89009496">
                                          <w:marLeft w:val="0"/>
                                          <w:marRight w:val="0"/>
                                          <w:marTop w:val="0"/>
                                          <w:marBottom w:val="0"/>
                                          <w:divBdr>
                                            <w:top w:val="none" w:sz="0" w:space="0" w:color="auto"/>
                                            <w:left w:val="none" w:sz="0" w:space="0" w:color="auto"/>
                                            <w:bottom w:val="none" w:sz="0" w:space="0" w:color="auto"/>
                                            <w:right w:val="none" w:sz="0" w:space="0" w:color="auto"/>
                                          </w:divBdr>
                                          <w:divsChild>
                                            <w:div w:id="1878079795">
                                              <w:marLeft w:val="0"/>
                                              <w:marRight w:val="0"/>
                                              <w:marTop w:val="0"/>
                                              <w:marBottom w:val="0"/>
                                              <w:divBdr>
                                                <w:top w:val="none" w:sz="0" w:space="0" w:color="auto"/>
                                                <w:left w:val="none" w:sz="0" w:space="0" w:color="auto"/>
                                                <w:bottom w:val="none" w:sz="0" w:space="0" w:color="auto"/>
                                                <w:right w:val="none" w:sz="0" w:space="0" w:color="auto"/>
                                              </w:divBdr>
                                              <w:divsChild>
                                                <w:div w:id="1662274982">
                                                  <w:marLeft w:val="0"/>
                                                  <w:marRight w:val="0"/>
                                                  <w:marTop w:val="0"/>
                                                  <w:marBottom w:val="0"/>
                                                  <w:divBdr>
                                                    <w:top w:val="none" w:sz="0" w:space="0" w:color="auto"/>
                                                    <w:left w:val="none" w:sz="0" w:space="0" w:color="auto"/>
                                                    <w:bottom w:val="none" w:sz="0" w:space="0" w:color="auto"/>
                                                    <w:right w:val="none" w:sz="0" w:space="0" w:color="auto"/>
                                                  </w:divBdr>
                                                  <w:divsChild>
                                                    <w:div w:id="773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261351">
      <w:bodyDiv w:val="1"/>
      <w:marLeft w:val="0"/>
      <w:marRight w:val="0"/>
      <w:marTop w:val="0"/>
      <w:marBottom w:val="0"/>
      <w:divBdr>
        <w:top w:val="none" w:sz="0" w:space="0" w:color="auto"/>
        <w:left w:val="none" w:sz="0" w:space="0" w:color="auto"/>
        <w:bottom w:val="none" w:sz="0" w:space="0" w:color="auto"/>
        <w:right w:val="none" w:sz="0" w:space="0" w:color="auto"/>
      </w:divBdr>
      <w:divsChild>
        <w:div w:id="1979257602">
          <w:marLeft w:val="0"/>
          <w:marRight w:val="0"/>
          <w:marTop w:val="0"/>
          <w:marBottom w:val="0"/>
          <w:divBdr>
            <w:top w:val="none" w:sz="0" w:space="0" w:color="auto"/>
            <w:left w:val="none" w:sz="0" w:space="0" w:color="auto"/>
            <w:bottom w:val="none" w:sz="0" w:space="0" w:color="auto"/>
            <w:right w:val="none" w:sz="0" w:space="0" w:color="auto"/>
          </w:divBdr>
          <w:divsChild>
            <w:div w:id="2061320109">
              <w:marLeft w:val="0"/>
              <w:marRight w:val="-300"/>
              <w:marTop w:val="0"/>
              <w:marBottom w:val="0"/>
              <w:divBdr>
                <w:top w:val="none" w:sz="0" w:space="0" w:color="auto"/>
                <w:left w:val="none" w:sz="0" w:space="0" w:color="auto"/>
                <w:bottom w:val="none" w:sz="0" w:space="0" w:color="auto"/>
                <w:right w:val="none" w:sz="0" w:space="0" w:color="auto"/>
              </w:divBdr>
              <w:divsChild>
                <w:div w:id="1050307451">
                  <w:marLeft w:val="75"/>
                  <w:marRight w:val="75"/>
                  <w:marTop w:val="0"/>
                  <w:marBottom w:val="0"/>
                  <w:divBdr>
                    <w:top w:val="none" w:sz="0" w:space="0" w:color="auto"/>
                    <w:left w:val="none" w:sz="0" w:space="0" w:color="auto"/>
                    <w:bottom w:val="none" w:sz="0" w:space="0" w:color="auto"/>
                    <w:right w:val="none" w:sz="0" w:space="0" w:color="auto"/>
                  </w:divBdr>
                  <w:divsChild>
                    <w:div w:id="1371035739">
                      <w:marLeft w:val="0"/>
                      <w:marRight w:val="0"/>
                      <w:marTop w:val="0"/>
                      <w:marBottom w:val="0"/>
                      <w:divBdr>
                        <w:top w:val="none" w:sz="0" w:space="0" w:color="auto"/>
                        <w:left w:val="none" w:sz="0" w:space="0" w:color="auto"/>
                        <w:bottom w:val="none" w:sz="0" w:space="0" w:color="auto"/>
                        <w:right w:val="none" w:sz="0" w:space="0" w:color="auto"/>
                      </w:divBdr>
                      <w:divsChild>
                        <w:div w:id="421343721">
                          <w:marLeft w:val="0"/>
                          <w:marRight w:val="0"/>
                          <w:marTop w:val="0"/>
                          <w:marBottom w:val="0"/>
                          <w:divBdr>
                            <w:top w:val="none" w:sz="0" w:space="0" w:color="auto"/>
                            <w:left w:val="none" w:sz="0" w:space="0" w:color="auto"/>
                            <w:bottom w:val="none" w:sz="0" w:space="0" w:color="auto"/>
                            <w:right w:val="none" w:sz="0" w:space="0" w:color="auto"/>
                          </w:divBdr>
                        </w:div>
                        <w:div w:id="13698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924391">
      <w:bodyDiv w:val="1"/>
      <w:marLeft w:val="0"/>
      <w:marRight w:val="0"/>
      <w:marTop w:val="0"/>
      <w:marBottom w:val="0"/>
      <w:divBdr>
        <w:top w:val="none" w:sz="0" w:space="0" w:color="auto"/>
        <w:left w:val="none" w:sz="0" w:space="0" w:color="auto"/>
        <w:bottom w:val="none" w:sz="0" w:space="0" w:color="auto"/>
        <w:right w:val="none" w:sz="0" w:space="0" w:color="auto"/>
      </w:divBdr>
    </w:div>
    <w:div w:id="1260866987">
      <w:bodyDiv w:val="1"/>
      <w:marLeft w:val="0"/>
      <w:marRight w:val="0"/>
      <w:marTop w:val="0"/>
      <w:marBottom w:val="0"/>
      <w:divBdr>
        <w:top w:val="none" w:sz="0" w:space="0" w:color="auto"/>
        <w:left w:val="none" w:sz="0" w:space="0" w:color="auto"/>
        <w:bottom w:val="none" w:sz="0" w:space="0" w:color="auto"/>
        <w:right w:val="none" w:sz="0" w:space="0" w:color="auto"/>
      </w:divBdr>
      <w:divsChild>
        <w:div w:id="254825269">
          <w:marLeft w:val="0"/>
          <w:marRight w:val="0"/>
          <w:marTop w:val="0"/>
          <w:marBottom w:val="0"/>
          <w:divBdr>
            <w:top w:val="none" w:sz="0" w:space="0" w:color="auto"/>
            <w:left w:val="none" w:sz="0" w:space="0" w:color="auto"/>
            <w:bottom w:val="none" w:sz="0" w:space="0" w:color="auto"/>
            <w:right w:val="none" w:sz="0" w:space="0" w:color="auto"/>
          </w:divBdr>
          <w:divsChild>
            <w:div w:id="1374039961">
              <w:marLeft w:val="0"/>
              <w:marRight w:val="-300"/>
              <w:marTop w:val="0"/>
              <w:marBottom w:val="0"/>
              <w:divBdr>
                <w:top w:val="none" w:sz="0" w:space="0" w:color="auto"/>
                <w:left w:val="none" w:sz="0" w:space="0" w:color="auto"/>
                <w:bottom w:val="none" w:sz="0" w:space="0" w:color="auto"/>
                <w:right w:val="none" w:sz="0" w:space="0" w:color="auto"/>
              </w:divBdr>
              <w:divsChild>
                <w:div w:id="1087766927">
                  <w:marLeft w:val="75"/>
                  <w:marRight w:val="75"/>
                  <w:marTop w:val="0"/>
                  <w:marBottom w:val="0"/>
                  <w:divBdr>
                    <w:top w:val="none" w:sz="0" w:space="0" w:color="auto"/>
                    <w:left w:val="none" w:sz="0" w:space="0" w:color="auto"/>
                    <w:bottom w:val="none" w:sz="0" w:space="0" w:color="auto"/>
                    <w:right w:val="none" w:sz="0" w:space="0" w:color="auto"/>
                  </w:divBdr>
                  <w:divsChild>
                    <w:div w:id="1987396194">
                      <w:marLeft w:val="0"/>
                      <w:marRight w:val="0"/>
                      <w:marTop w:val="0"/>
                      <w:marBottom w:val="0"/>
                      <w:divBdr>
                        <w:top w:val="none" w:sz="0" w:space="0" w:color="auto"/>
                        <w:left w:val="none" w:sz="0" w:space="0" w:color="auto"/>
                        <w:bottom w:val="none" w:sz="0" w:space="0" w:color="auto"/>
                        <w:right w:val="none" w:sz="0" w:space="0" w:color="auto"/>
                      </w:divBdr>
                      <w:divsChild>
                        <w:div w:id="104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28507">
      <w:bodyDiv w:val="1"/>
      <w:marLeft w:val="0"/>
      <w:marRight w:val="0"/>
      <w:marTop w:val="0"/>
      <w:marBottom w:val="0"/>
      <w:divBdr>
        <w:top w:val="none" w:sz="0" w:space="0" w:color="auto"/>
        <w:left w:val="none" w:sz="0" w:space="0" w:color="auto"/>
        <w:bottom w:val="none" w:sz="0" w:space="0" w:color="auto"/>
        <w:right w:val="none" w:sz="0" w:space="0" w:color="auto"/>
      </w:divBdr>
      <w:divsChild>
        <w:div w:id="837692431">
          <w:marLeft w:val="360"/>
          <w:marRight w:val="0"/>
          <w:marTop w:val="96"/>
          <w:marBottom w:val="0"/>
          <w:divBdr>
            <w:top w:val="none" w:sz="0" w:space="0" w:color="auto"/>
            <w:left w:val="none" w:sz="0" w:space="0" w:color="auto"/>
            <w:bottom w:val="none" w:sz="0" w:space="0" w:color="auto"/>
            <w:right w:val="none" w:sz="0" w:space="0" w:color="auto"/>
          </w:divBdr>
        </w:div>
      </w:divsChild>
    </w:div>
    <w:div w:id="1337882896">
      <w:bodyDiv w:val="1"/>
      <w:marLeft w:val="0"/>
      <w:marRight w:val="0"/>
      <w:marTop w:val="0"/>
      <w:marBottom w:val="0"/>
      <w:divBdr>
        <w:top w:val="none" w:sz="0" w:space="0" w:color="auto"/>
        <w:left w:val="none" w:sz="0" w:space="0" w:color="auto"/>
        <w:bottom w:val="none" w:sz="0" w:space="0" w:color="auto"/>
        <w:right w:val="none" w:sz="0" w:space="0" w:color="auto"/>
      </w:divBdr>
      <w:divsChild>
        <w:div w:id="374549966">
          <w:marLeft w:val="0"/>
          <w:marRight w:val="0"/>
          <w:marTop w:val="0"/>
          <w:marBottom w:val="0"/>
          <w:divBdr>
            <w:top w:val="none" w:sz="0" w:space="0" w:color="auto"/>
            <w:left w:val="none" w:sz="0" w:space="0" w:color="auto"/>
            <w:bottom w:val="none" w:sz="0" w:space="0" w:color="auto"/>
            <w:right w:val="none" w:sz="0" w:space="0" w:color="auto"/>
          </w:divBdr>
          <w:divsChild>
            <w:div w:id="1633749013">
              <w:marLeft w:val="0"/>
              <w:marRight w:val="0"/>
              <w:marTop w:val="0"/>
              <w:marBottom w:val="0"/>
              <w:divBdr>
                <w:top w:val="none" w:sz="0" w:space="0" w:color="auto"/>
                <w:left w:val="none" w:sz="0" w:space="0" w:color="auto"/>
                <w:bottom w:val="none" w:sz="0" w:space="0" w:color="auto"/>
                <w:right w:val="none" w:sz="0" w:space="0" w:color="auto"/>
              </w:divBdr>
              <w:divsChild>
                <w:div w:id="439882385">
                  <w:marLeft w:val="0"/>
                  <w:marRight w:val="0"/>
                  <w:marTop w:val="0"/>
                  <w:marBottom w:val="0"/>
                  <w:divBdr>
                    <w:top w:val="none" w:sz="0" w:space="0" w:color="auto"/>
                    <w:left w:val="none" w:sz="0" w:space="0" w:color="auto"/>
                    <w:bottom w:val="none" w:sz="0" w:space="0" w:color="auto"/>
                    <w:right w:val="none" w:sz="0" w:space="0" w:color="auto"/>
                  </w:divBdr>
                  <w:divsChild>
                    <w:div w:id="1246648383">
                      <w:marLeft w:val="0"/>
                      <w:marRight w:val="0"/>
                      <w:marTop w:val="0"/>
                      <w:marBottom w:val="0"/>
                      <w:divBdr>
                        <w:top w:val="none" w:sz="0" w:space="0" w:color="auto"/>
                        <w:left w:val="none" w:sz="0" w:space="0" w:color="auto"/>
                        <w:bottom w:val="none" w:sz="0" w:space="0" w:color="auto"/>
                        <w:right w:val="none" w:sz="0" w:space="0" w:color="auto"/>
                      </w:divBdr>
                      <w:divsChild>
                        <w:div w:id="369842074">
                          <w:marLeft w:val="0"/>
                          <w:marRight w:val="0"/>
                          <w:marTop w:val="0"/>
                          <w:marBottom w:val="0"/>
                          <w:divBdr>
                            <w:top w:val="none" w:sz="0" w:space="0" w:color="auto"/>
                            <w:left w:val="none" w:sz="0" w:space="0" w:color="auto"/>
                            <w:bottom w:val="none" w:sz="0" w:space="0" w:color="auto"/>
                            <w:right w:val="none" w:sz="0" w:space="0" w:color="auto"/>
                          </w:divBdr>
                          <w:divsChild>
                            <w:div w:id="645666538">
                              <w:marLeft w:val="0"/>
                              <w:marRight w:val="0"/>
                              <w:marTop w:val="0"/>
                              <w:marBottom w:val="0"/>
                              <w:divBdr>
                                <w:top w:val="none" w:sz="0" w:space="0" w:color="auto"/>
                                <w:left w:val="none" w:sz="0" w:space="0" w:color="auto"/>
                                <w:bottom w:val="none" w:sz="0" w:space="0" w:color="auto"/>
                                <w:right w:val="none" w:sz="0" w:space="0" w:color="auto"/>
                              </w:divBdr>
                              <w:divsChild>
                                <w:div w:id="1655984325">
                                  <w:marLeft w:val="0"/>
                                  <w:marRight w:val="0"/>
                                  <w:marTop w:val="0"/>
                                  <w:marBottom w:val="0"/>
                                  <w:divBdr>
                                    <w:top w:val="none" w:sz="0" w:space="0" w:color="auto"/>
                                    <w:left w:val="none" w:sz="0" w:space="0" w:color="auto"/>
                                    <w:bottom w:val="none" w:sz="0" w:space="0" w:color="auto"/>
                                    <w:right w:val="none" w:sz="0" w:space="0" w:color="auto"/>
                                  </w:divBdr>
                                  <w:divsChild>
                                    <w:div w:id="37824974">
                                      <w:marLeft w:val="0"/>
                                      <w:marRight w:val="0"/>
                                      <w:marTop w:val="0"/>
                                      <w:marBottom w:val="0"/>
                                      <w:divBdr>
                                        <w:top w:val="none" w:sz="0" w:space="0" w:color="auto"/>
                                        <w:left w:val="none" w:sz="0" w:space="0" w:color="auto"/>
                                        <w:bottom w:val="none" w:sz="0" w:space="0" w:color="auto"/>
                                        <w:right w:val="none" w:sz="0" w:space="0" w:color="auto"/>
                                      </w:divBdr>
                                    </w:div>
                                    <w:div w:id="3694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826888">
      <w:bodyDiv w:val="1"/>
      <w:marLeft w:val="0"/>
      <w:marRight w:val="0"/>
      <w:marTop w:val="0"/>
      <w:marBottom w:val="0"/>
      <w:divBdr>
        <w:top w:val="none" w:sz="0" w:space="0" w:color="auto"/>
        <w:left w:val="none" w:sz="0" w:space="0" w:color="auto"/>
        <w:bottom w:val="none" w:sz="0" w:space="0" w:color="auto"/>
        <w:right w:val="none" w:sz="0" w:space="0" w:color="auto"/>
      </w:divBdr>
    </w:div>
    <w:div w:id="1358971573">
      <w:bodyDiv w:val="1"/>
      <w:marLeft w:val="0"/>
      <w:marRight w:val="0"/>
      <w:marTop w:val="0"/>
      <w:marBottom w:val="0"/>
      <w:divBdr>
        <w:top w:val="none" w:sz="0" w:space="0" w:color="auto"/>
        <w:left w:val="none" w:sz="0" w:space="0" w:color="auto"/>
        <w:bottom w:val="none" w:sz="0" w:space="0" w:color="auto"/>
        <w:right w:val="none" w:sz="0" w:space="0" w:color="auto"/>
      </w:divBdr>
      <w:divsChild>
        <w:div w:id="894126914">
          <w:marLeft w:val="0"/>
          <w:marRight w:val="0"/>
          <w:marTop w:val="0"/>
          <w:marBottom w:val="0"/>
          <w:divBdr>
            <w:top w:val="none" w:sz="0" w:space="0" w:color="auto"/>
            <w:left w:val="none" w:sz="0" w:space="0" w:color="auto"/>
            <w:bottom w:val="none" w:sz="0" w:space="0" w:color="auto"/>
            <w:right w:val="none" w:sz="0" w:space="0" w:color="auto"/>
          </w:divBdr>
          <w:divsChild>
            <w:div w:id="293754357">
              <w:marLeft w:val="0"/>
              <w:marRight w:val="0"/>
              <w:marTop w:val="0"/>
              <w:marBottom w:val="0"/>
              <w:divBdr>
                <w:top w:val="none" w:sz="0" w:space="0" w:color="auto"/>
                <w:left w:val="none" w:sz="0" w:space="0" w:color="auto"/>
                <w:bottom w:val="none" w:sz="0" w:space="0" w:color="auto"/>
                <w:right w:val="none" w:sz="0" w:space="0" w:color="auto"/>
              </w:divBdr>
              <w:divsChild>
                <w:div w:id="1964145152">
                  <w:marLeft w:val="0"/>
                  <w:marRight w:val="0"/>
                  <w:marTop w:val="0"/>
                  <w:marBottom w:val="0"/>
                  <w:divBdr>
                    <w:top w:val="none" w:sz="0" w:space="0" w:color="auto"/>
                    <w:left w:val="none" w:sz="0" w:space="0" w:color="auto"/>
                    <w:bottom w:val="none" w:sz="0" w:space="0" w:color="auto"/>
                    <w:right w:val="none" w:sz="0" w:space="0" w:color="auto"/>
                  </w:divBdr>
                  <w:divsChild>
                    <w:div w:id="966010322">
                      <w:marLeft w:val="0"/>
                      <w:marRight w:val="0"/>
                      <w:marTop w:val="0"/>
                      <w:marBottom w:val="0"/>
                      <w:divBdr>
                        <w:top w:val="none" w:sz="0" w:space="0" w:color="auto"/>
                        <w:left w:val="none" w:sz="0" w:space="0" w:color="auto"/>
                        <w:bottom w:val="none" w:sz="0" w:space="0" w:color="auto"/>
                        <w:right w:val="none" w:sz="0" w:space="0" w:color="auto"/>
                      </w:divBdr>
                      <w:divsChild>
                        <w:div w:id="1461074195">
                          <w:marLeft w:val="0"/>
                          <w:marRight w:val="0"/>
                          <w:marTop w:val="0"/>
                          <w:marBottom w:val="0"/>
                          <w:divBdr>
                            <w:top w:val="none" w:sz="0" w:space="0" w:color="auto"/>
                            <w:left w:val="none" w:sz="0" w:space="0" w:color="auto"/>
                            <w:bottom w:val="none" w:sz="0" w:space="0" w:color="auto"/>
                            <w:right w:val="none" w:sz="0" w:space="0" w:color="auto"/>
                          </w:divBdr>
                          <w:divsChild>
                            <w:div w:id="1771004964">
                              <w:marLeft w:val="0"/>
                              <w:marRight w:val="0"/>
                              <w:marTop w:val="0"/>
                              <w:marBottom w:val="0"/>
                              <w:divBdr>
                                <w:top w:val="none" w:sz="0" w:space="0" w:color="auto"/>
                                <w:left w:val="none" w:sz="0" w:space="0" w:color="auto"/>
                                <w:bottom w:val="none" w:sz="0" w:space="0" w:color="auto"/>
                                <w:right w:val="none" w:sz="0" w:space="0" w:color="auto"/>
                              </w:divBdr>
                              <w:divsChild>
                                <w:div w:id="367753834">
                                  <w:marLeft w:val="0"/>
                                  <w:marRight w:val="0"/>
                                  <w:marTop w:val="0"/>
                                  <w:marBottom w:val="0"/>
                                  <w:divBdr>
                                    <w:top w:val="none" w:sz="0" w:space="0" w:color="auto"/>
                                    <w:left w:val="none" w:sz="0" w:space="0" w:color="auto"/>
                                    <w:bottom w:val="none" w:sz="0" w:space="0" w:color="auto"/>
                                    <w:right w:val="none" w:sz="0" w:space="0" w:color="auto"/>
                                  </w:divBdr>
                                  <w:divsChild>
                                    <w:div w:id="416561765">
                                      <w:marLeft w:val="0"/>
                                      <w:marRight w:val="0"/>
                                      <w:marTop w:val="0"/>
                                      <w:marBottom w:val="0"/>
                                      <w:divBdr>
                                        <w:top w:val="none" w:sz="0" w:space="0" w:color="auto"/>
                                        <w:left w:val="none" w:sz="0" w:space="0" w:color="auto"/>
                                        <w:bottom w:val="none" w:sz="0" w:space="0" w:color="auto"/>
                                        <w:right w:val="none" w:sz="0" w:space="0" w:color="auto"/>
                                      </w:divBdr>
                                    </w:div>
                                    <w:div w:id="14008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615924">
      <w:bodyDiv w:val="1"/>
      <w:marLeft w:val="0"/>
      <w:marRight w:val="0"/>
      <w:marTop w:val="0"/>
      <w:marBottom w:val="0"/>
      <w:divBdr>
        <w:top w:val="none" w:sz="0" w:space="0" w:color="auto"/>
        <w:left w:val="none" w:sz="0" w:space="0" w:color="auto"/>
        <w:bottom w:val="none" w:sz="0" w:space="0" w:color="auto"/>
        <w:right w:val="none" w:sz="0" w:space="0" w:color="auto"/>
      </w:divBdr>
      <w:divsChild>
        <w:div w:id="328752213">
          <w:marLeft w:val="0"/>
          <w:marRight w:val="0"/>
          <w:marTop w:val="100"/>
          <w:marBottom w:val="100"/>
          <w:divBdr>
            <w:top w:val="none" w:sz="0" w:space="0" w:color="auto"/>
            <w:left w:val="none" w:sz="0" w:space="0" w:color="auto"/>
            <w:bottom w:val="none" w:sz="0" w:space="0" w:color="auto"/>
            <w:right w:val="none" w:sz="0" w:space="0" w:color="auto"/>
          </w:divBdr>
          <w:divsChild>
            <w:div w:id="17291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98497">
      <w:bodyDiv w:val="1"/>
      <w:marLeft w:val="0"/>
      <w:marRight w:val="0"/>
      <w:marTop w:val="0"/>
      <w:marBottom w:val="0"/>
      <w:divBdr>
        <w:top w:val="none" w:sz="0" w:space="0" w:color="auto"/>
        <w:left w:val="none" w:sz="0" w:space="0" w:color="auto"/>
        <w:bottom w:val="none" w:sz="0" w:space="0" w:color="auto"/>
        <w:right w:val="none" w:sz="0" w:space="0" w:color="auto"/>
      </w:divBdr>
    </w:div>
    <w:div w:id="1767463954">
      <w:bodyDiv w:val="1"/>
      <w:marLeft w:val="0"/>
      <w:marRight w:val="0"/>
      <w:marTop w:val="0"/>
      <w:marBottom w:val="0"/>
      <w:divBdr>
        <w:top w:val="none" w:sz="0" w:space="0" w:color="auto"/>
        <w:left w:val="none" w:sz="0" w:space="0" w:color="auto"/>
        <w:bottom w:val="none" w:sz="0" w:space="0" w:color="auto"/>
        <w:right w:val="none" w:sz="0" w:space="0" w:color="auto"/>
      </w:divBdr>
      <w:divsChild>
        <w:div w:id="2066564901">
          <w:marLeft w:val="0"/>
          <w:marRight w:val="0"/>
          <w:marTop w:val="0"/>
          <w:marBottom w:val="0"/>
          <w:divBdr>
            <w:top w:val="none" w:sz="0" w:space="0" w:color="auto"/>
            <w:left w:val="none" w:sz="0" w:space="0" w:color="auto"/>
            <w:bottom w:val="none" w:sz="0" w:space="0" w:color="auto"/>
            <w:right w:val="none" w:sz="0" w:space="0" w:color="auto"/>
          </w:divBdr>
          <w:divsChild>
            <w:div w:id="793249559">
              <w:marLeft w:val="0"/>
              <w:marRight w:val="0"/>
              <w:marTop w:val="0"/>
              <w:marBottom w:val="0"/>
              <w:divBdr>
                <w:top w:val="none" w:sz="0" w:space="0" w:color="auto"/>
                <w:left w:val="none" w:sz="0" w:space="0" w:color="auto"/>
                <w:bottom w:val="none" w:sz="0" w:space="0" w:color="auto"/>
                <w:right w:val="none" w:sz="0" w:space="0" w:color="auto"/>
              </w:divBdr>
              <w:divsChild>
                <w:div w:id="1419476952">
                  <w:marLeft w:val="0"/>
                  <w:marRight w:val="0"/>
                  <w:marTop w:val="0"/>
                  <w:marBottom w:val="0"/>
                  <w:divBdr>
                    <w:top w:val="none" w:sz="0" w:space="0" w:color="auto"/>
                    <w:left w:val="none" w:sz="0" w:space="0" w:color="auto"/>
                    <w:bottom w:val="none" w:sz="0" w:space="0" w:color="auto"/>
                    <w:right w:val="none" w:sz="0" w:space="0" w:color="auto"/>
                  </w:divBdr>
                  <w:divsChild>
                    <w:div w:id="1000161874">
                      <w:marLeft w:val="0"/>
                      <w:marRight w:val="0"/>
                      <w:marTop w:val="0"/>
                      <w:marBottom w:val="0"/>
                      <w:divBdr>
                        <w:top w:val="none" w:sz="0" w:space="0" w:color="auto"/>
                        <w:left w:val="none" w:sz="0" w:space="0" w:color="auto"/>
                        <w:bottom w:val="none" w:sz="0" w:space="0" w:color="auto"/>
                        <w:right w:val="none" w:sz="0" w:space="0" w:color="auto"/>
                      </w:divBdr>
                      <w:divsChild>
                        <w:div w:id="66196903">
                          <w:marLeft w:val="0"/>
                          <w:marRight w:val="0"/>
                          <w:marTop w:val="0"/>
                          <w:marBottom w:val="0"/>
                          <w:divBdr>
                            <w:top w:val="none" w:sz="0" w:space="0" w:color="auto"/>
                            <w:left w:val="none" w:sz="0" w:space="0" w:color="auto"/>
                            <w:bottom w:val="none" w:sz="0" w:space="0" w:color="auto"/>
                            <w:right w:val="none" w:sz="0" w:space="0" w:color="auto"/>
                          </w:divBdr>
                          <w:divsChild>
                            <w:div w:id="1499924554">
                              <w:marLeft w:val="0"/>
                              <w:marRight w:val="0"/>
                              <w:marTop w:val="0"/>
                              <w:marBottom w:val="0"/>
                              <w:divBdr>
                                <w:top w:val="none" w:sz="0" w:space="0" w:color="auto"/>
                                <w:left w:val="none" w:sz="0" w:space="0" w:color="auto"/>
                                <w:bottom w:val="none" w:sz="0" w:space="0" w:color="auto"/>
                                <w:right w:val="none" w:sz="0" w:space="0" w:color="auto"/>
                              </w:divBdr>
                              <w:divsChild>
                                <w:div w:id="2001882066">
                                  <w:marLeft w:val="0"/>
                                  <w:marRight w:val="0"/>
                                  <w:marTop w:val="0"/>
                                  <w:marBottom w:val="0"/>
                                  <w:divBdr>
                                    <w:top w:val="none" w:sz="0" w:space="0" w:color="auto"/>
                                    <w:left w:val="none" w:sz="0" w:space="0" w:color="auto"/>
                                    <w:bottom w:val="none" w:sz="0" w:space="0" w:color="auto"/>
                                    <w:right w:val="none" w:sz="0" w:space="0" w:color="auto"/>
                                  </w:divBdr>
                                  <w:divsChild>
                                    <w:div w:id="1370060457">
                                      <w:marLeft w:val="0"/>
                                      <w:marRight w:val="0"/>
                                      <w:marTop w:val="0"/>
                                      <w:marBottom w:val="0"/>
                                      <w:divBdr>
                                        <w:top w:val="none" w:sz="0" w:space="0" w:color="auto"/>
                                        <w:left w:val="none" w:sz="0" w:space="0" w:color="auto"/>
                                        <w:bottom w:val="none" w:sz="0" w:space="0" w:color="auto"/>
                                        <w:right w:val="none" w:sz="0" w:space="0" w:color="auto"/>
                                      </w:divBdr>
                                    </w:div>
                                    <w:div w:id="15614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298377">
      <w:bodyDiv w:val="1"/>
      <w:marLeft w:val="0"/>
      <w:marRight w:val="0"/>
      <w:marTop w:val="0"/>
      <w:marBottom w:val="0"/>
      <w:divBdr>
        <w:top w:val="none" w:sz="0" w:space="0" w:color="auto"/>
        <w:left w:val="none" w:sz="0" w:space="0" w:color="auto"/>
        <w:bottom w:val="none" w:sz="0" w:space="0" w:color="auto"/>
        <w:right w:val="none" w:sz="0" w:space="0" w:color="auto"/>
      </w:divBdr>
      <w:divsChild>
        <w:div w:id="1209344495">
          <w:marLeft w:val="0"/>
          <w:marRight w:val="0"/>
          <w:marTop w:val="0"/>
          <w:marBottom w:val="0"/>
          <w:divBdr>
            <w:top w:val="none" w:sz="0" w:space="0" w:color="auto"/>
            <w:left w:val="none" w:sz="0" w:space="0" w:color="auto"/>
            <w:bottom w:val="none" w:sz="0" w:space="0" w:color="auto"/>
            <w:right w:val="none" w:sz="0" w:space="0" w:color="auto"/>
          </w:divBdr>
          <w:divsChild>
            <w:div w:id="2104565550">
              <w:marLeft w:val="0"/>
              <w:marRight w:val="0"/>
              <w:marTop w:val="0"/>
              <w:marBottom w:val="0"/>
              <w:divBdr>
                <w:top w:val="none" w:sz="0" w:space="0" w:color="auto"/>
                <w:left w:val="none" w:sz="0" w:space="0" w:color="auto"/>
                <w:bottom w:val="none" w:sz="0" w:space="0" w:color="auto"/>
                <w:right w:val="none" w:sz="0" w:space="0" w:color="auto"/>
              </w:divBdr>
              <w:divsChild>
                <w:div w:id="16276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5501">
      <w:bodyDiv w:val="1"/>
      <w:marLeft w:val="0"/>
      <w:marRight w:val="0"/>
      <w:marTop w:val="0"/>
      <w:marBottom w:val="0"/>
      <w:divBdr>
        <w:top w:val="none" w:sz="0" w:space="0" w:color="auto"/>
        <w:left w:val="none" w:sz="0" w:space="0" w:color="auto"/>
        <w:bottom w:val="none" w:sz="0" w:space="0" w:color="auto"/>
        <w:right w:val="none" w:sz="0" w:space="0" w:color="auto"/>
      </w:divBdr>
      <w:divsChild>
        <w:div w:id="886523858">
          <w:marLeft w:val="792"/>
          <w:marRight w:val="0"/>
          <w:marTop w:val="86"/>
          <w:marBottom w:val="0"/>
          <w:divBdr>
            <w:top w:val="none" w:sz="0" w:space="0" w:color="auto"/>
            <w:left w:val="none" w:sz="0" w:space="0" w:color="auto"/>
            <w:bottom w:val="none" w:sz="0" w:space="0" w:color="auto"/>
            <w:right w:val="none" w:sz="0" w:space="0" w:color="auto"/>
          </w:divBdr>
        </w:div>
      </w:divsChild>
    </w:div>
    <w:div w:id="2053846873">
      <w:bodyDiv w:val="1"/>
      <w:marLeft w:val="0"/>
      <w:marRight w:val="0"/>
      <w:marTop w:val="0"/>
      <w:marBottom w:val="0"/>
      <w:divBdr>
        <w:top w:val="none" w:sz="0" w:space="0" w:color="auto"/>
        <w:left w:val="none" w:sz="0" w:space="0" w:color="auto"/>
        <w:bottom w:val="none" w:sz="0" w:space="0" w:color="auto"/>
        <w:right w:val="none" w:sz="0" w:space="0" w:color="auto"/>
      </w:divBdr>
    </w:div>
    <w:div w:id="208490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ae%20DS%5BAuthor%5D&amp;cauthor=true&amp;cauthor_uid=2289045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cbi.nlm.nih.gov/pubmed?term=Howard%20AW%5BAuthor%5D&amp;cauthor=true&amp;cauthor_uid=228904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35C1FCD-E088-4FDA-9A76-7656F432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7500</Words>
  <Characters>42750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n</vt:lpstr>
    </vt:vector>
  </TitlesOfParts>
  <Company>y</Company>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W</dc:subject>
  <dc:creator>Abdulrahman Alsawadi</dc:creator>
  <cp:keywords/>
  <dc:description/>
  <cp:lastModifiedBy>Abdulrahman Alsawadi</cp:lastModifiedBy>
  <cp:revision>6</cp:revision>
  <cp:lastPrinted>2012-12-16T17:26:00Z</cp:lastPrinted>
  <dcterms:created xsi:type="dcterms:W3CDTF">2017-11-29T21:17:00Z</dcterms:created>
  <dcterms:modified xsi:type="dcterms:W3CDTF">2017-11-30T20:12:00Z</dcterms:modified>
</cp:coreProperties>
</file>